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3F21D">
      <w:pPr>
        <w:spacing w:line="1081" w:lineRule="exact"/>
        <w:jc w:val="center"/>
        <w:rPr>
          <w:rFonts w:ascii="华文细黑" w:hAnsi="华文细黑" w:eastAsia="华文细黑" w:cs="SCACIN+»ªÎÄÐÐ¿¬"/>
          <w:color w:val="000000"/>
          <w:sz w:val="48"/>
          <w:szCs w:val="48"/>
        </w:rPr>
      </w:pPr>
    </w:p>
    <w:p w14:paraId="6B6C01B3">
      <w:pPr>
        <w:spacing w:line="1081" w:lineRule="exact"/>
        <w:jc w:val="center"/>
        <w:rPr>
          <w:rFonts w:ascii="华文细黑" w:hAnsi="华文细黑" w:eastAsia="华文细黑" w:cs="SCACIN+»ªÎÄÐÐ¿¬"/>
          <w:color w:val="000000"/>
          <w:sz w:val="52"/>
          <w:szCs w:val="52"/>
        </w:rPr>
      </w:pPr>
      <w:bookmarkStart w:id="0" w:name="_Hlk95895223"/>
      <w:bookmarkEnd w:id="0"/>
      <w:r>
        <w:rPr>
          <w:rFonts w:ascii="华文细黑" w:hAnsi="华文细黑" w:eastAsia="华文细黑" w:cs="SCACIN+»ªÎÄÐÐ¿¬"/>
          <w:color w:val="000000"/>
          <w:sz w:val="52"/>
          <w:szCs w:val="52"/>
        </w:rPr>
        <w:t>浙江省浦江吴氏锁业有限公司</w:t>
      </w:r>
    </w:p>
    <w:p w14:paraId="298A0E97">
      <w:pPr>
        <w:spacing w:line="1081" w:lineRule="exact"/>
        <w:jc w:val="center"/>
        <w:rPr>
          <w:rFonts w:ascii="华文细黑" w:hAnsi="华文细黑" w:eastAsia="华文细黑" w:cs="SCACIN+»ªÎÄÐÐ¿¬"/>
          <w:color w:val="000000"/>
          <w:sz w:val="52"/>
          <w:szCs w:val="52"/>
        </w:rPr>
      </w:pPr>
    </w:p>
    <w:p w14:paraId="305E7353">
      <w:pPr>
        <w:spacing w:line="1081" w:lineRule="exact"/>
        <w:jc w:val="center"/>
        <w:rPr>
          <w:rFonts w:ascii="华文细黑" w:hAnsi="华文细黑" w:eastAsia="华文细黑"/>
          <w:color w:val="000000"/>
          <w:sz w:val="84"/>
          <w:szCs w:val="84"/>
        </w:rPr>
      </w:pPr>
      <w:r>
        <w:rPr>
          <w:rFonts w:hint="eastAsia" w:ascii="华文细黑" w:hAnsi="华文细黑" w:eastAsia="华文细黑" w:cs="SCACIN+»ªÎÄÐÐ¿¬"/>
          <w:color w:val="000000"/>
          <w:sz w:val="84"/>
          <w:szCs w:val="84"/>
        </w:rPr>
        <w:t>社会</w:t>
      </w:r>
      <w:r>
        <w:rPr>
          <w:rFonts w:ascii="华文细黑" w:hAnsi="华文细黑" w:eastAsia="华文细黑" w:cs="SCACIN+»ªÎÄÐÐ¿¬"/>
          <w:color w:val="000000"/>
          <w:sz w:val="84"/>
          <w:szCs w:val="84"/>
        </w:rPr>
        <w:t>责任报告</w:t>
      </w:r>
    </w:p>
    <w:p w14:paraId="327B0108">
      <w:pPr>
        <w:spacing w:before="175" w:line="514" w:lineRule="exact"/>
        <w:ind w:left="158"/>
        <w:rPr>
          <w:rFonts w:ascii="华文细黑" w:hAnsi="华文细黑" w:eastAsia="华文细黑"/>
          <w:color w:val="000000"/>
          <w:sz w:val="44"/>
        </w:rPr>
      </w:pPr>
    </w:p>
    <w:p w14:paraId="33E36D7E">
      <w:pPr>
        <w:spacing w:before="175" w:line="240" w:lineRule="auto"/>
        <w:ind w:left="158"/>
        <w:rPr>
          <w:rFonts w:hint="eastAsia" w:ascii="华文细黑" w:hAnsi="华文细黑" w:eastAsia="华文细黑"/>
          <w:color w:val="000000"/>
          <w:sz w:val="44"/>
          <w:lang w:eastAsia="zh-CN"/>
        </w:rPr>
      </w:pPr>
      <w:r>
        <w:rPr>
          <w:rFonts w:hint="eastAsia" w:ascii="华文细黑" w:hAnsi="华文细黑" w:eastAsia="华文细黑"/>
          <w:color w:val="000000"/>
          <w:sz w:val="44"/>
          <w:lang w:eastAsia="zh-CN"/>
        </w:rPr>
        <w:drawing>
          <wp:inline distT="0" distB="0" distL="114300" distR="114300">
            <wp:extent cx="5760720" cy="3551555"/>
            <wp:effectExtent l="0" t="0" r="0" b="14605"/>
            <wp:docPr id="5" name="图片 5" descr="门面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门面照"/>
                    <pic:cNvPicPr>
                      <a:picLocks noChangeAspect="1"/>
                    </pic:cNvPicPr>
                  </pic:nvPicPr>
                  <pic:blipFill>
                    <a:blip r:embed="rId6"/>
                    <a:stretch>
                      <a:fillRect/>
                    </a:stretch>
                  </pic:blipFill>
                  <pic:spPr>
                    <a:xfrm>
                      <a:off x="0" y="0"/>
                      <a:ext cx="5760720" cy="3551555"/>
                    </a:xfrm>
                    <a:prstGeom prst="rect">
                      <a:avLst/>
                    </a:prstGeom>
                  </pic:spPr>
                </pic:pic>
              </a:graphicData>
            </a:graphic>
          </wp:inline>
        </w:drawing>
      </w:r>
    </w:p>
    <w:p w14:paraId="36EC4F98">
      <w:pPr>
        <w:spacing w:before="175" w:line="514" w:lineRule="exact"/>
        <w:ind w:left="158"/>
        <w:rPr>
          <w:rFonts w:ascii="华文细黑" w:hAnsi="华文细黑" w:eastAsia="华文细黑" w:cs="SCACIN+»ªÎÄÐÐ¿¬"/>
          <w:color w:val="000000"/>
          <w:spacing w:val="-40"/>
          <w:sz w:val="50"/>
        </w:rPr>
      </w:pPr>
    </w:p>
    <w:p w14:paraId="22B64560">
      <w:pPr>
        <w:spacing w:before="175" w:line="514" w:lineRule="exact"/>
        <w:ind w:left="158"/>
        <w:jc w:val="center"/>
        <w:rPr>
          <w:rFonts w:ascii="华文细黑" w:hAnsi="华文细黑" w:eastAsia="华文细黑" w:cs="SCACIN+»ªÎÄÐÐ¿¬"/>
          <w:color w:val="000000"/>
          <w:spacing w:val="-40"/>
          <w:sz w:val="50"/>
        </w:rPr>
      </w:pPr>
    </w:p>
    <w:p w14:paraId="45902E78">
      <w:pPr>
        <w:spacing w:before="175" w:line="514" w:lineRule="exact"/>
        <w:ind w:left="158"/>
        <w:jc w:val="center"/>
        <w:rPr>
          <w:rFonts w:ascii="华文细黑" w:hAnsi="华文细黑" w:eastAsia="华文细黑"/>
          <w:color w:val="000000"/>
          <w:sz w:val="50"/>
        </w:rPr>
      </w:pPr>
    </w:p>
    <w:p w14:paraId="614BACFC">
      <w:pPr>
        <w:spacing w:before="175" w:line="514" w:lineRule="exact"/>
        <w:ind w:firstLine="2700" w:firstLineChars="500"/>
        <w:jc w:val="both"/>
        <w:rPr>
          <w:rFonts w:ascii="华文细黑" w:hAnsi="华文细黑" w:eastAsia="华文细黑" w:cs="SCACIN+»ªÎÄÐÐ¿¬"/>
          <w:color w:val="000000"/>
          <w:spacing w:val="20"/>
          <w:sz w:val="50"/>
        </w:rPr>
        <w:sectPr>
          <w:footerReference r:id="rId3" w:type="default"/>
          <w:pgSz w:w="11906" w:h="16838"/>
          <w:pgMar w:top="1440" w:right="1417" w:bottom="1440" w:left="1417" w:header="850" w:footer="992" w:gutter="0"/>
          <w:cols w:space="0" w:num="1"/>
          <w:docGrid w:type="lines" w:linePitch="312" w:charSpace="0"/>
        </w:sectPr>
      </w:pPr>
      <w:r>
        <w:rPr>
          <w:rFonts w:ascii="华文细黑" w:hAnsi="华文细黑" w:eastAsia="华文细黑" w:cs="SCACIN+»ªÎÄÐÐ¿¬"/>
          <w:color w:val="000000"/>
          <w:spacing w:val="20"/>
          <w:sz w:val="50"/>
        </w:rPr>
        <w:t>二O</w:t>
      </w:r>
      <w:r>
        <w:rPr>
          <w:rFonts w:hint="eastAsia" w:ascii="华文细黑" w:hAnsi="华文细黑" w:eastAsia="华文细黑" w:cs="SCACIN+»ªÎÄÐÐ¿¬"/>
          <w:color w:val="000000"/>
          <w:spacing w:val="20"/>
          <w:sz w:val="50"/>
        </w:rPr>
        <w:t>二</w:t>
      </w:r>
      <w:r>
        <w:rPr>
          <w:rFonts w:hint="eastAsia" w:ascii="华文细黑" w:hAnsi="华文细黑" w:eastAsia="华文细黑" w:cs="SCACIN+»ªÎÄÐÐ¿¬"/>
          <w:color w:val="000000"/>
          <w:spacing w:val="20"/>
          <w:sz w:val="50"/>
          <w:lang w:eastAsia="zh-CN"/>
        </w:rPr>
        <w:t>六</w:t>
      </w:r>
      <w:r>
        <w:rPr>
          <w:rFonts w:ascii="华文细黑" w:hAnsi="华文细黑" w:eastAsia="华文细黑" w:cs="SCACIN+»ªÎÄÐÐ¿¬"/>
          <w:color w:val="000000"/>
          <w:spacing w:val="20"/>
          <w:sz w:val="50"/>
        </w:rPr>
        <w:t>年</w:t>
      </w:r>
      <w:r>
        <w:rPr>
          <w:rFonts w:hint="eastAsia" w:ascii="华文细黑" w:hAnsi="华文细黑" w:eastAsia="华文细黑" w:cs="SCACIN+»ªÎÄÐÐ¿¬"/>
          <w:color w:val="000000"/>
          <w:spacing w:val="20"/>
          <w:sz w:val="50"/>
          <w:lang w:eastAsia="zh-CN"/>
        </w:rPr>
        <w:t>八</w:t>
      </w:r>
      <w:r>
        <w:rPr>
          <w:rFonts w:ascii="华文细黑" w:hAnsi="华文细黑" w:eastAsia="华文细黑" w:cs="SCACIN+»ªÎÄÐÐ¿¬"/>
          <w:color w:val="000000"/>
          <w:spacing w:val="20"/>
          <w:sz w:val="50"/>
        </w:rPr>
        <w:t>月</w:t>
      </w:r>
    </w:p>
    <w:p w14:paraId="744B9230">
      <w:pPr>
        <w:pStyle w:val="2"/>
        <w:jc w:val="center"/>
        <w:rPr>
          <w:rFonts w:ascii="华文细黑" w:hAnsi="华文细黑" w:eastAsia="华文细黑"/>
          <w:b w:val="0"/>
          <w:sz w:val="52"/>
          <w:szCs w:val="52"/>
        </w:rPr>
      </w:pPr>
      <w:r>
        <w:rPr>
          <w:rFonts w:hint="eastAsia" w:ascii="华文细黑" w:hAnsi="华文细黑" w:eastAsia="华文细黑"/>
          <w:b w:val="0"/>
          <w:sz w:val="52"/>
          <w:szCs w:val="52"/>
        </w:rPr>
        <w:t>目  录</w:t>
      </w:r>
    </w:p>
    <w:p w14:paraId="12341FB2">
      <w:pPr>
        <w:spacing w:line="600" w:lineRule="auto"/>
        <w:rPr>
          <w:rFonts w:ascii="华文细黑" w:hAnsi="华文细黑" w:eastAsia="华文细黑" w:cs="Calibri"/>
          <w:bCs/>
          <w:sz w:val="30"/>
          <w:szCs w:val="30"/>
        </w:rPr>
      </w:pPr>
      <w:r>
        <w:rPr>
          <w:rFonts w:hint="eastAsia" w:ascii="华文细黑" w:hAnsi="华文细黑" w:eastAsia="华文细黑" w:cs="Calibri"/>
          <w:bCs/>
          <w:sz w:val="30"/>
          <w:szCs w:val="30"/>
        </w:rPr>
        <w:t>第一部分 报告前言</w:t>
      </w:r>
    </w:p>
    <w:p w14:paraId="74B0B26C">
      <w:pPr>
        <w:spacing w:line="600" w:lineRule="auto"/>
        <w:ind w:left="420" w:leftChars="200"/>
        <w:rPr>
          <w:rFonts w:ascii="华文细黑" w:hAnsi="华文细黑" w:eastAsia="华文细黑" w:cs="Calibri"/>
          <w:bCs/>
          <w:sz w:val="30"/>
          <w:szCs w:val="30"/>
        </w:rPr>
      </w:pPr>
      <w:r>
        <w:rPr>
          <w:rFonts w:hint="eastAsia" w:ascii="华文细黑" w:hAnsi="华文细黑" w:eastAsia="华文细黑" w:cs="Calibri"/>
          <w:bCs/>
          <w:sz w:val="30"/>
          <w:szCs w:val="30"/>
        </w:rPr>
        <w:t>一、报告编制规范</w:t>
      </w:r>
    </w:p>
    <w:p w14:paraId="39B9D35E">
      <w:pPr>
        <w:spacing w:line="600" w:lineRule="auto"/>
        <w:ind w:left="420" w:leftChars="200"/>
        <w:rPr>
          <w:rFonts w:ascii="华文细黑" w:hAnsi="华文细黑" w:eastAsia="华文细黑" w:cs="Calibri"/>
          <w:bCs/>
          <w:sz w:val="30"/>
          <w:szCs w:val="30"/>
        </w:rPr>
      </w:pPr>
      <w:r>
        <w:rPr>
          <w:rFonts w:hint="eastAsia" w:ascii="华文细黑" w:hAnsi="华文细黑" w:eastAsia="华文细黑" w:cs="Calibri"/>
          <w:bCs/>
          <w:sz w:val="30"/>
          <w:szCs w:val="30"/>
        </w:rPr>
        <w:t>二、致辞</w:t>
      </w:r>
    </w:p>
    <w:p w14:paraId="28EE99FC">
      <w:pPr>
        <w:spacing w:line="600" w:lineRule="auto"/>
        <w:ind w:left="420" w:leftChars="200"/>
        <w:rPr>
          <w:rFonts w:ascii="华文细黑" w:hAnsi="华文细黑" w:eastAsia="华文细黑" w:cs="Calibri"/>
          <w:bCs/>
          <w:sz w:val="30"/>
          <w:szCs w:val="30"/>
        </w:rPr>
      </w:pPr>
      <w:r>
        <w:rPr>
          <w:rFonts w:hint="eastAsia" w:ascii="华文细黑" w:hAnsi="华文细黑" w:eastAsia="华文细黑" w:cs="Calibri"/>
          <w:bCs/>
          <w:sz w:val="30"/>
          <w:szCs w:val="30"/>
        </w:rPr>
        <w:t>三、企业简介</w:t>
      </w:r>
    </w:p>
    <w:p w14:paraId="64963468">
      <w:pPr>
        <w:spacing w:line="600" w:lineRule="auto"/>
        <w:rPr>
          <w:rFonts w:ascii="华文细黑" w:hAnsi="华文细黑" w:eastAsia="华文细黑" w:cs="Calibri"/>
          <w:bCs/>
          <w:sz w:val="30"/>
          <w:szCs w:val="30"/>
        </w:rPr>
      </w:pPr>
      <w:r>
        <w:rPr>
          <w:rFonts w:hint="eastAsia" w:ascii="华文细黑" w:hAnsi="华文细黑" w:eastAsia="华文细黑" w:cs="Calibri"/>
          <w:bCs/>
          <w:sz w:val="30"/>
          <w:szCs w:val="30"/>
        </w:rPr>
        <w:t>第二部分 报告正文</w:t>
      </w:r>
    </w:p>
    <w:p w14:paraId="71656E24">
      <w:pPr>
        <w:spacing w:line="600" w:lineRule="auto"/>
        <w:ind w:left="420" w:leftChars="200"/>
        <w:rPr>
          <w:rFonts w:ascii="华文细黑" w:hAnsi="华文细黑" w:eastAsia="华文细黑" w:cs="Calibri"/>
          <w:bCs/>
          <w:sz w:val="30"/>
          <w:szCs w:val="30"/>
        </w:rPr>
      </w:pPr>
      <w:r>
        <w:rPr>
          <w:rFonts w:hint="eastAsia" w:ascii="华文细黑" w:hAnsi="华文细黑" w:eastAsia="华文细黑" w:cs="Calibri"/>
          <w:bCs/>
          <w:sz w:val="30"/>
          <w:szCs w:val="30"/>
        </w:rPr>
        <w:t>一、经营与发展综述</w:t>
      </w:r>
    </w:p>
    <w:p w14:paraId="5B3F5EA7">
      <w:pPr>
        <w:spacing w:line="600" w:lineRule="auto"/>
        <w:ind w:left="420" w:leftChars="200"/>
        <w:rPr>
          <w:rFonts w:ascii="华文细黑" w:hAnsi="华文细黑" w:eastAsia="华文细黑" w:cs="Calibri"/>
          <w:bCs/>
          <w:sz w:val="30"/>
          <w:szCs w:val="30"/>
        </w:rPr>
      </w:pPr>
      <w:r>
        <w:rPr>
          <w:rFonts w:hint="eastAsia" w:ascii="华文细黑" w:hAnsi="华文细黑" w:eastAsia="华文细黑" w:cs="Calibri"/>
          <w:bCs/>
          <w:sz w:val="30"/>
          <w:szCs w:val="30"/>
        </w:rPr>
        <w:t>二、社会责任实践</w:t>
      </w:r>
    </w:p>
    <w:p w14:paraId="291F0503">
      <w:pPr>
        <w:spacing w:line="600" w:lineRule="auto"/>
        <w:ind w:left="840" w:leftChars="400"/>
        <w:rPr>
          <w:rFonts w:ascii="华文细黑" w:hAnsi="华文细黑" w:eastAsia="华文细黑" w:cs="Calibri"/>
          <w:bCs/>
          <w:sz w:val="30"/>
          <w:szCs w:val="30"/>
        </w:rPr>
      </w:pPr>
      <w:r>
        <w:rPr>
          <w:rFonts w:hint="eastAsia" w:ascii="华文细黑" w:hAnsi="华文细黑" w:eastAsia="华文细黑" w:cs="Calibri"/>
          <w:bCs/>
          <w:sz w:val="30"/>
          <w:szCs w:val="30"/>
        </w:rPr>
        <w:t>（一）公司治理制度</w:t>
      </w:r>
    </w:p>
    <w:p w14:paraId="260FFD7D">
      <w:pPr>
        <w:spacing w:line="600" w:lineRule="auto"/>
        <w:ind w:left="840" w:leftChars="400"/>
        <w:rPr>
          <w:rFonts w:ascii="华文细黑" w:hAnsi="华文细黑" w:eastAsia="华文细黑" w:cs="Calibri"/>
          <w:bCs/>
          <w:sz w:val="30"/>
          <w:szCs w:val="30"/>
        </w:rPr>
      </w:pPr>
      <w:r>
        <w:rPr>
          <w:rFonts w:hint="eastAsia" w:ascii="华文细黑" w:hAnsi="华文细黑" w:eastAsia="华文细黑" w:cs="Calibri"/>
          <w:bCs/>
          <w:sz w:val="30"/>
          <w:szCs w:val="30"/>
        </w:rPr>
        <w:t>（二）股东权益保护</w:t>
      </w:r>
    </w:p>
    <w:p w14:paraId="4E7C5D21">
      <w:pPr>
        <w:spacing w:line="600" w:lineRule="auto"/>
        <w:ind w:left="840" w:leftChars="400"/>
        <w:rPr>
          <w:rFonts w:ascii="华文细黑" w:hAnsi="华文细黑" w:eastAsia="华文细黑" w:cs="Calibri"/>
          <w:bCs/>
          <w:sz w:val="30"/>
          <w:szCs w:val="30"/>
        </w:rPr>
      </w:pPr>
      <w:r>
        <w:rPr>
          <w:rFonts w:hint="eastAsia" w:ascii="华文细黑" w:hAnsi="华文细黑" w:eastAsia="华文细黑" w:cs="Calibri"/>
          <w:bCs/>
          <w:sz w:val="30"/>
          <w:szCs w:val="30"/>
        </w:rPr>
        <w:t>（三）职工权益保护</w:t>
      </w:r>
    </w:p>
    <w:p w14:paraId="140DA816">
      <w:pPr>
        <w:spacing w:line="600" w:lineRule="auto"/>
        <w:ind w:left="840" w:leftChars="400"/>
        <w:rPr>
          <w:rFonts w:ascii="华文细黑" w:hAnsi="华文细黑" w:eastAsia="华文细黑" w:cs="Calibri"/>
          <w:bCs/>
          <w:sz w:val="30"/>
          <w:szCs w:val="30"/>
        </w:rPr>
      </w:pPr>
      <w:r>
        <w:rPr>
          <w:rFonts w:hint="eastAsia" w:ascii="华文细黑" w:hAnsi="华文细黑" w:eastAsia="华文细黑" w:cs="Calibri"/>
          <w:bCs/>
          <w:sz w:val="30"/>
          <w:szCs w:val="30"/>
        </w:rPr>
        <w:t>（四）供应商客户等其他相关方权益保护</w:t>
      </w:r>
    </w:p>
    <w:p w14:paraId="6AF61973">
      <w:pPr>
        <w:spacing w:line="600" w:lineRule="auto"/>
        <w:ind w:left="840" w:leftChars="400"/>
        <w:rPr>
          <w:rFonts w:ascii="华文细黑" w:hAnsi="华文细黑" w:eastAsia="华文细黑" w:cs="Calibri"/>
          <w:bCs/>
          <w:sz w:val="30"/>
          <w:szCs w:val="30"/>
        </w:rPr>
      </w:pPr>
      <w:r>
        <w:rPr>
          <w:rFonts w:hint="eastAsia" w:ascii="华文细黑" w:hAnsi="华文细黑" w:eastAsia="华文细黑" w:cs="Calibri"/>
          <w:bCs/>
          <w:sz w:val="30"/>
          <w:szCs w:val="30"/>
        </w:rPr>
        <w:t>（五）环境保护与可持续发展</w:t>
      </w:r>
    </w:p>
    <w:p w14:paraId="7E3B3939">
      <w:pPr>
        <w:spacing w:line="600" w:lineRule="auto"/>
        <w:ind w:left="840" w:leftChars="400"/>
        <w:rPr>
          <w:rFonts w:ascii="华文细黑" w:hAnsi="华文细黑" w:eastAsia="华文细黑" w:cs="Calibri"/>
          <w:bCs/>
          <w:sz w:val="30"/>
          <w:szCs w:val="30"/>
        </w:rPr>
      </w:pPr>
      <w:r>
        <w:rPr>
          <w:rFonts w:hint="eastAsia" w:ascii="华文细黑" w:hAnsi="华文细黑" w:eastAsia="华文细黑" w:cs="Calibri"/>
          <w:bCs/>
          <w:sz w:val="30"/>
          <w:szCs w:val="30"/>
        </w:rPr>
        <w:t>（六）公共关系和社会公益事业</w:t>
      </w:r>
    </w:p>
    <w:p w14:paraId="410F4800">
      <w:pPr>
        <w:spacing w:line="600" w:lineRule="auto"/>
        <w:ind w:left="420" w:leftChars="200"/>
        <w:rPr>
          <w:rFonts w:ascii="华文细黑" w:hAnsi="华文细黑" w:eastAsia="华文细黑" w:cs="Calibri"/>
          <w:bCs/>
          <w:sz w:val="30"/>
          <w:szCs w:val="30"/>
        </w:rPr>
      </w:pPr>
      <w:r>
        <w:rPr>
          <w:rFonts w:hint="eastAsia" w:ascii="华文细黑" w:hAnsi="华文细黑" w:eastAsia="华文细黑" w:cs="Calibri"/>
          <w:bCs/>
          <w:sz w:val="30"/>
          <w:szCs w:val="30"/>
        </w:rPr>
        <w:t>三、结束语</w:t>
      </w:r>
    </w:p>
    <w:p w14:paraId="024A116E">
      <w:pPr>
        <w:spacing w:line="360" w:lineRule="auto"/>
        <w:rPr>
          <w:rFonts w:ascii="华文细黑" w:hAnsi="华文细黑" w:eastAsia="华文细黑" w:cs="Calibri"/>
          <w:bCs/>
          <w:sz w:val="36"/>
          <w:szCs w:val="36"/>
        </w:rPr>
      </w:pPr>
    </w:p>
    <w:p w14:paraId="78912DC6">
      <w:pPr>
        <w:spacing w:line="360" w:lineRule="auto"/>
        <w:jc w:val="center"/>
        <w:rPr>
          <w:rFonts w:ascii="华文细黑" w:hAnsi="华文细黑" w:eastAsia="华文细黑"/>
          <w:bCs/>
          <w:sz w:val="40"/>
          <w:szCs w:val="44"/>
        </w:rPr>
        <w:sectPr>
          <w:footerReference r:id="rId4" w:type="default"/>
          <w:pgSz w:w="11906" w:h="16838"/>
          <w:pgMar w:top="1440" w:right="1417" w:bottom="1440" w:left="1417" w:header="850" w:footer="992" w:gutter="0"/>
          <w:pgNumType w:start="1"/>
          <w:cols w:space="0" w:num="1"/>
          <w:docGrid w:type="lines" w:linePitch="312" w:charSpace="0"/>
        </w:sectPr>
      </w:pPr>
    </w:p>
    <w:p w14:paraId="70EAC2F1">
      <w:pPr>
        <w:spacing w:before="312" w:beforeLines="100" w:after="312" w:afterLines="100" w:line="360" w:lineRule="auto"/>
        <w:jc w:val="center"/>
        <w:outlineLvl w:val="0"/>
        <w:rPr>
          <w:rFonts w:ascii="华文细黑" w:hAnsi="华文细黑" w:eastAsia="华文细黑"/>
          <w:sz w:val="32"/>
          <w:szCs w:val="32"/>
        </w:rPr>
      </w:pPr>
      <w:r>
        <w:rPr>
          <w:rFonts w:hint="eastAsia" w:ascii="华文细黑" w:hAnsi="华文细黑" w:eastAsia="华文细黑"/>
          <w:sz w:val="32"/>
          <w:szCs w:val="32"/>
        </w:rPr>
        <w:t>第一部分 报告前言</w:t>
      </w:r>
    </w:p>
    <w:p w14:paraId="79457DF9">
      <w:pPr>
        <w:jc w:val="left"/>
        <w:outlineLvl w:val="1"/>
        <w:rPr>
          <w:rFonts w:ascii="华文细黑" w:hAnsi="华文细黑" w:eastAsia="华文细黑"/>
          <w:sz w:val="24"/>
          <w:szCs w:val="24"/>
        </w:rPr>
      </w:pPr>
      <w:r>
        <w:rPr>
          <w:rFonts w:hint="eastAsia" w:ascii="华文细黑" w:hAnsi="华文细黑" w:eastAsia="华文细黑"/>
          <w:sz w:val="24"/>
          <w:szCs w:val="24"/>
        </w:rPr>
        <w:t>一、报告编制规范</w:t>
      </w:r>
    </w:p>
    <w:p w14:paraId="79FEC558">
      <w:pPr>
        <w:pStyle w:val="10"/>
        <w:ind w:firstLine="480"/>
        <w:rPr>
          <w:rFonts w:ascii="华文细黑" w:hAnsi="华文细黑" w:eastAsia="华文细黑" w:cs="宋体"/>
          <w:kern w:val="0"/>
          <w:sz w:val="24"/>
          <w:szCs w:val="24"/>
          <w:lang w:val="zh-CN"/>
        </w:rPr>
      </w:pPr>
      <w:r>
        <w:rPr>
          <w:rFonts w:ascii="华文细黑" w:hAnsi="华文细黑" w:eastAsia="华文细黑"/>
          <w:sz w:val="24"/>
          <w:szCs w:val="24"/>
        </w:rPr>
        <w:t>《</w:t>
      </w:r>
      <w:r>
        <w:rPr>
          <w:rFonts w:hint="eastAsia" w:ascii="华文细黑" w:hAnsi="华文细黑" w:eastAsia="华文细黑"/>
          <w:sz w:val="24"/>
          <w:szCs w:val="24"/>
        </w:rPr>
        <w:t>社会责任报告</w:t>
      </w:r>
      <w:r>
        <w:rPr>
          <w:rFonts w:ascii="华文细黑" w:hAnsi="华文细黑" w:eastAsia="华文细黑"/>
          <w:sz w:val="24"/>
          <w:szCs w:val="24"/>
        </w:rPr>
        <w:t>》回顾了在</w:t>
      </w:r>
      <w:r>
        <w:rPr>
          <w:rFonts w:hint="eastAsia" w:ascii="华文细黑" w:hAnsi="华文细黑" w:eastAsia="华文细黑"/>
          <w:sz w:val="24"/>
          <w:szCs w:val="24"/>
        </w:rPr>
        <w:t>社会责任实践</w:t>
      </w:r>
      <w:r>
        <w:rPr>
          <w:rFonts w:ascii="华文细黑" w:hAnsi="华文细黑" w:eastAsia="华文细黑"/>
          <w:sz w:val="24"/>
          <w:szCs w:val="24"/>
        </w:rPr>
        <w:t>方面的理念、制度、措施以及取得的成效。关于本报告的披露内容，说明如下：</w:t>
      </w:r>
    </w:p>
    <w:p w14:paraId="3DE5C5F8">
      <w:pPr>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（一）报告范围</w:t>
      </w:r>
    </w:p>
    <w:p w14:paraId="32E87E75">
      <w:pPr>
        <w:ind w:firstLine="480" w:firstLineChars="200"/>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报告的组织范围：浙江省浦江吴氏锁业有限公司</w:t>
      </w:r>
    </w:p>
    <w:p w14:paraId="1C480D4C">
      <w:pPr>
        <w:ind w:firstLine="480" w:firstLineChars="200"/>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报告的时间范围：</w:t>
      </w:r>
      <w:r>
        <w:rPr>
          <w:rFonts w:hint="eastAsia" w:ascii="华文细黑" w:hAnsi="华文细黑" w:eastAsia="华文细黑" w:cs="宋体"/>
          <w:kern w:val="0"/>
          <w:sz w:val="24"/>
          <w:szCs w:val="24"/>
          <w:lang w:val="en-US" w:eastAsia="zh-CN"/>
        </w:rPr>
        <w:t>2025年9月</w:t>
      </w:r>
      <w:r>
        <w:rPr>
          <w:rFonts w:hint="eastAsia" w:ascii="华文细黑" w:hAnsi="华文细黑" w:eastAsia="华文细黑" w:cs="宋体"/>
          <w:kern w:val="0"/>
          <w:sz w:val="24"/>
          <w:szCs w:val="24"/>
          <w:lang w:val="zh-CN"/>
        </w:rPr>
        <w:t>至2</w:t>
      </w:r>
      <w:r>
        <w:rPr>
          <w:rFonts w:ascii="华文细黑" w:hAnsi="华文细黑" w:eastAsia="华文细黑" w:cs="宋体"/>
          <w:kern w:val="0"/>
          <w:sz w:val="24"/>
          <w:szCs w:val="24"/>
          <w:lang w:val="zh-CN"/>
        </w:rPr>
        <w:t>0</w:t>
      </w:r>
      <w:r>
        <w:rPr>
          <w:rFonts w:hint="eastAsia" w:ascii="华文细黑" w:hAnsi="华文细黑" w:eastAsia="华文细黑" w:cs="宋体"/>
          <w:kern w:val="0"/>
          <w:sz w:val="24"/>
          <w:szCs w:val="24"/>
          <w:lang w:val="zh-CN"/>
        </w:rPr>
        <w:t>2</w:t>
      </w:r>
      <w:r>
        <w:rPr>
          <w:rFonts w:hint="eastAsia" w:ascii="华文细黑" w:hAnsi="华文细黑" w:eastAsia="华文细黑" w:cs="宋体"/>
          <w:kern w:val="0"/>
          <w:sz w:val="24"/>
          <w:szCs w:val="24"/>
          <w:lang w:val="en-US" w:eastAsia="zh-CN"/>
        </w:rPr>
        <w:t>6</w:t>
      </w:r>
      <w:r>
        <w:rPr>
          <w:rFonts w:hint="eastAsia" w:ascii="华文细黑" w:hAnsi="华文细黑" w:eastAsia="华文细黑" w:cs="宋体"/>
          <w:kern w:val="0"/>
          <w:sz w:val="24"/>
          <w:szCs w:val="24"/>
          <w:lang w:val="zh-CN"/>
        </w:rPr>
        <w:t>年</w:t>
      </w:r>
      <w:r>
        <w:rPr>
          <w:rFonts w:hint="eastAsia" w:ascii="华文细黑" w:hAnsi="华文细黑" w:eastAsia="华文细黑" w:cs="宋体"/>
          <w:kern w:val="0"/>
          <w:sz w:val="24"/>
          <w:szCs w:val="24"/>
          <w:lang w:val="en-US" w:eastAsia="zh-CN"/>
        </w:rPr>
        <w:t>9</w:t>
      </w:r>
      <w:bookmarkStart w:id="1" w:name="_GoBack"/>
      <w:bookmarkEnd w:id="1"/>
      <w:r>
        <w:rPr>
          <w:rFonts w:hint="eastAsia" w:ascii="华文细黑" w:hAnsi="华文细黑" w:eastAsia="华文细黑" w:cs="宋体"/>
          <w:kern w:val="0"/>
          <w:sz w:val="24"/>
          <w:szCs w:val="24"/>
          <w:lang w:val="zh-CN"/>
        </w:rPr>
        <w:t>月</w:t>
      </w:r>
    </w:p>
    <w:p w14:paraId="1332D855">
      <w:pPr>
        <w:ind w:firstLine="480" w:firstLineChars="200"/>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报告的发布周期：年度发布</w:t>
      </w:r>
    </w:p>
    <w:p w14:paraId="20A1DF71">
      <w:pPr>
        <w:ind w:firstLine="480" w:firstLineChars="200"/>
        <w:rPr>
          <w:rFonts w:ascii="华文细黑" w:hAnsi="华文细黑" w:eastAsia="华文细黑" w:cs="宋体"/>
          <w:kern w:val="0"/>
          <w:sz w:val="24"/>
          <w:szCs w:val="24"/>
          <w:lang w:val="zh-CN"/>
        </w:rPr>
      </w:pPr>
      <w:r>
        <w:rPr>
          <w:rFonts w:ascii="华文细黑" w:hAnsi="华文细黑" w:eastAsia="华文细黑" w:cs="宋体"/>
          <w:kern w:val="0"/>
          <w:sz w:val="24"/>
          <w:szCs w:val="24"/>
          <w:lang w:val="zh-CN"/>
        </w:rPr>
        <w:t>报告发布形式及解读本报告以电子版形式发布，欲获取报告电子版，请</w:t>
      </w:r>
      <w:r>
        <w:rPr>
          <w:rFonts w:hint="eastAsia" w:ascii="华文细黑" w:hAnsi="华文细黑" w:eastAsia="华文细黑" w:cs="宋体"/>
          <w:kern w:val="0"/>
          <w:sz w:val="24"/>
          <w:szCs w:val="24"/>
          <w:lang w:val="zh-CN"/>
        </w:rPr>
        <w:t>关注</w:t>
      </w:r>
      <w:r>
        <w:rPr>
          <w:rFonts w:ascii="华文细黑" w:hAnsi="华文细黑" w:eastAsia="华文细黑" w:cs="宋体"/>
          <w:kern w:val="0"/>
          <w:sz w:val="24"/>
          <w:szCs w:val="24"/>
          <w:lang w:val="zh-CN"/>
        </w:rPr>
        <w:t>吴氏</w:t>
      </w:r>
      <w:r>
        <w:rPr>
          <w:rFonts w:hint="eastAsia" w:ascii="华文细黑" w:hAnsi="华文细黑" w:eastAsia="华文细黑" w:cs="宋体"/>
          <w:kern w:val="0"/>
          <w:sz w:val="24"/>
          <w:szCs w:val="24"/>
          <w:lang w:val="zh-CN"/>
        </w:rPr>
        <w:t>网站。</w:t>
      </w:r>
    </w:p>
    <w:p w14:paraId="7D05AC1E">
      <w:pPr>
        <w:ind w:firstLine="480" w:firstLineChars="200"/>
        <w:rPr>
          <w:rFonts w:ascii="华文细黑" w:hAnsi="华文细黑" w:eastAsia="华文细黑" w:cs="宋体"/>
          <w:kern w:val="0"/>
          <w:sz w:val="24"/>
          <w:szCs w:val="24"/>
          <w:lang w:val="zh-CN"/>
        </w:rPr>
      </w:pPr>
      <w:r>
        <w:rPr>
          <w:rFonts w:ascii="华文细黑" w:hAnsi="华文细黑" w:eastAsia="华文细黑" w:cs="宋体"/>
          <w:kern w:val="0"/>
          <w:sz w:val="24"/>
          <w:szCs w:val="24"/>
          <w:lang w:val="zh-CN"/>
        </w:rPr>
        <w:t>解答报告及其内容问题联系方式</w:t>
      </w:r>
      <w:r>
        <w:rPr>
          <w:rFonts w:hint="eastAsia" w:ascii="华文细黑" w:hAnsi="华文细黑" w:eastAsia="华文细黑" w:cs="宋体"/>
          <w:kern w:val="0"/>
          <w:sz w:val="24"/>
          <w:szCs w:val="24"/>
          <w:lang w:val="zh-CN"/>
        </w:rPr>
        <w:t>：</w:t>
      </w:r>
    </w:p>
    <w:p w14:paraId="5DA8F255">
      <w:pPr>
        <w:ind w:firstLine="480" w:firstLineChars="200"/>
        <w:rPr>
          <w:rFonts w:ascii="华文细黑" w:hAnsi="华文细黑" w:eastAsia="华文细黑" w:cs="宋体"/>
          <w:kern w:val="0"/>
          <w:sz w:val="24"/>
          <w:szCs w:val="24"/>
          <w:lang w:val="zh-CN"/>
        </w:rPr>
      </w:pPr>
      <w:r>
        <w:rPr>
          <w:rFonts w:ascii="华文细黑" w:hAnsi="华文细黑" w:eastAsia="华文细黑" w:cs="宋体"/>
          <w:kern w:val="0"/>
          <w:sz w:val="24"/>
          <w:szCs w:val="24"/>
          <w:lang w:val="zh-CN"/>
        </w:rPr>
        <w:t>联系人：</w:t>
      </w:r>
      <w:r>
        <w:rPr>
          <w:rFonts w:hint="eastAsia" w:ascii="华文细黑" w:hAnsi="华文细黑" w:eastAsia="华文细黑" w:cs="宋体"/>
          <w:kern w:val="0"/>
          <w:sz w:val="24"/>
          <w:szCs w:val="24"/>
          <w:lang w:val="zh-CN"/>
        </w:rPr>
        <w:t>郑青川</w:t>
      </w:r>
      <w:r>
        <w:rPr>
          <w:rFonts w:ascii="华文细黑" w:hAnsi="华文细黑" w:eastAsia="华文细黑" w:cs="宋体"/>
          <w:kern w:val="0"/>
          <w:sz w:val="24"/>
          <w:szCs w:val="24"/>
          <w:lang w:val="zh-CN"/>
        </w:rPr>
        <w:tab/>
      </w:r>
      <w:r>
        <w:rPr>
          <w:rFonts w:ascii="华文细黑" w:hAnsi="华文细黑" w:eastAsia="华文细黑" w:cs="宋体"/>
          <w:kern w:val="0"/>
          <w:sz w:val="24"/>
          <w:szCs w:val="24"/>
          <w:lang w:val="zh-CN"/>
        </w:rPr>
        <w:t>电话：13868911441</w:t>
      </w:r>
    </w:p>
    <w:p w14:paraId="35659566">
      <w:pPr>
        <w:ind w:firstLine="480" w:firstLineChars="200"/>
        <w:rPr>
          <w:rFonts w:ascii="华文细黑" w:hAnsi="华文细黑" w:eastAsia="华文细黑" w:cs="宋体"/>
          <w:kern w:val="0"/>
          <w:sz w:val="24"/>
          <w:szCs w:val="24"/>
          <w:lang w:val="zh-CN"/>
        </w:rPr>
      </w:pPr>
      <w:r>
        <w:rPr>
          <w:rFonts w:ascii="华文细黑" w:hAnsi="华文细黑" w:eastAsia="华文细黑" w:cs="宋体"/>
          <w:kern w:val="0"/>
          <w:sz w:val="24"/>
          <w:szCs w:val="24"/>
          <w:lang w:val="zh-CN"/>
        </w:rPr>
        <w:t>联系地址：</w:t>
      </w:r>
      <w:r>
        <w:rPr>
          <w:rFonts w:hint="eastAsia" w:ascii="华文细黑" w:hAnsi="华文细黑" w:eastAsia="华文细黑" w:cs="宋体"/>
          <w:kern w:val="0"/>
          <w:sz w:val="24"/>
          <w:szCs w:val="24"/>
          <w:lang w:val="zh-CN"/>
        </w:rPr>
        <w:t>浙江省浦江县黄宅镇兴工路35号</w:t>
      </w:r>
    </w:p>
    <w:p w14:paraId="152140D3">
      <w:pPr>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（二）报告内容客观性说明</w:t>
      </w:r>
    </w:p>
    <w:p w14:paraId="37C09F2B">
      <w:pPr>
        <w:pStyle w:val="10"/>
        <w:ind w:firstLine="480"/>
        <w:rPr>
          <w:rFonts w:ascii="华文细黑" w:hAnsi="华文细黑" w:eastAsia="华文细黑"/>
          <w:sz w:val="24"/>
          <w:szCs w:val="24"/>
        </w:rPr>
      </w:pPr>
      <w:r>
        <w:rPr>
          <w:rFonts w:ascii="华文细黑" w:hAnsi="华文细黑" w:eastAsia="华文细黑"/>
          <w:sz w:val="24"/>
          <w:szCs w:val="24"/>
        </w:rPr>
        <w:t>本报告完全依托公司生产经营实际情况而编写，内容客观公正，绝无虚假信息，定期公布，以接受社会的监督指导。</w:t>
      </w:r>
    </w:p>
    <w:p w14:paraId="73A6F728">
      <w:pPr>
        <w:pStyle w:val="10"/>
        <w:ind w:firstLine="480"/>
        <w:rPr>
          <w:rFonts w:ascii="华文细黑" w:hAnsi="华文细黑" w:eastAsia="华文细黑"/>
          <w:sz w:val="24"/>
          <w:szCs w:val="24"/>
        </w:rPr>
      </w:pPr>
    </w:p>
    <w:p w14:paraId="67649EC2">
      <w:pPr>
        <w:pStyle w:val="10"/>
        <w:ind w:firstLine="480"/>
        <w:rPr>
          <w:rFonts w:ascii="华文细黑" w:hAnsi="华文细黑" w:eastAsia="华文细黑"/>
          <w:sz w:val="24"/>
          <w:szCs w:val="24"/>
        </w:rPr>
      </w:pPr>
    </w:p>
    <w:p w14:paraId="1A2B619B">
      <w:pPr>
        <w:pStyle w:val="10"/>
        <w:ind w:firstLine="480"/>
        <w:rPr>
          <w:rFonts w:ascii="华文细黑" w:hAnsi="华文细黑" w:eastAsia="华文细黑"/>
          <w:sz w:val="24"/>
          <w:szCs w:val="24"/>
        </w:rPr>
      </w:pPr>
    </w:p>
    <w:p w14:paraId="0D4C24B8">
      <w:pPr>
        <w:pStyle w:val="10"/>
        <w:ind w:firstLine="480"/>
        <w:rPr>
          <w:rFonts w:ascii="华文细黑" w:hAnsi="华文细黑" w:eastAsia="华文细黑"/>
          <w:sz w:val="24"/>
          <w:szCs w:val="24"/>
        </w:rPr>
      </w:pPr>
    </w:p>
    <w:p w14:paraId="3D295D2B">
      <w:pPr>
        <w:pStyle w:val="10"/>
        <w:ind w:firstLine="480"/>
        <w:rPr>
          <w:rFonts w:ascii="华文细黑" w:hAnsi="华文细黑" w:eastAsia="华文细黑"/>
          <w:sz w:val="24"/>
          <w:szCs w:val="24"/>
        </w:rPr>
      </w:pPr>
    </w:p>
    <w:p w14:paraId="76E8088B">
      <w:pPr>
        <w:jc w:val="left"/>
        <w:outlineLvl w:val="1"/>
        <w:rPr>
          <w:rFonts w:ascii="华文细黑" w:hAnsi="华文细黑" w:eastAsia="华文细黑"/>
          <w:sz w:val="24"/>
          <w:szCs w:val="24"/>
        </w:rPr>
      </w:pPr>
      <w:r>
        <w:rPr>
          <w:rFonts w:hint="eastAsia" w:ascii="华文细黑" w:hAnsi="华文细黑" w:eastAsia="华文细黑"/>
          <w:sz w:val="24"/>
          <w:szCs w:val="24"/>
        </w:rPr>
        <w:t>二、致辞</w:t>
      </w:r>
    </w:p>
    <w:p w14:paraId="3E9CB91A">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这两年来</w:t>
      </w:r>
      <w:r>
        <w:rPr>
          <w:rFonts w:hint="eastAsia" w:ascii="华文细黑" w:hAnsi="华文细黑" w:eastAsia="华文细黑"/>
          <w:sz w:val="24"/>
          <w:szCs w:val="24"/>
          <w:lang w:eastAsia="zh-CN"/>
        </w:rPr>
        <w:t>受</w:t>
      </w:r>
      <w:r>
        <w:rPr>
          <w:rFonts w:hint="eastAsia" w:ascii="华文细黑" w:hAnsi="华文细黑" w:eastAsia="华文细黑"/>
          <w:sz w:val="24"/>
          <w:szCs w:val="24"/>
        </w:rPr>
        <w:t>国际国内经济下滑，</w:t>
      </w:r>
      <w:r>
        <w:rPr>
          <w:rFonts w:hint="eastAsia" w:ascii="华文细黑" w:hAnsi="华文细黑" w:eastAsia="华文细黑"/>
          <w:sz w:val="24"/>
          <w:szCs w:val="24"/>
          <w:lang w:eastAsia="zh-CN"/>
        </w:rPr>
        <w:t>俄乌危机，</w:t>
      </w:r>
      <w:r>
        <w:rPr>
          <w:rFonts w:hint="eastAsia" w:ascii="华文细黑" w:hAnsi="华文细黑" w:eastAsia="华文细黑"/>
          <w:sz w:val="24"/>
          <w:szCs w:val="24"/>
        </w:rPr>
        <w:t>原材料不断涨价，市场面临巨大挑战。面对大经济、政策环境带来的机遇和挑战，公司将继续以创造价值，贡献社会为使命，积极发展金属挂锁事业，力求以优质的产品和一流的服务，使金属挂锁使用寿命更长，产品质量更优质，客户更满意。</w:t>
      </w:r>
    </w:p>
    <w:p w14:paraId="1D75F6FC">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公司一贯高度重视企业社会责任工作。作为企业总体战略体系的重要环节，不断推进企业社会责任长效机制，逐步将可持续发展战略推进到每一个业务环节。</w:t>
      </w:r>
    </w:p>
    <w:p w14:paraId="5190E189">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围绕金属挂锁核心业务，坚持产品创新和管理提升。公司把握企业和产品的生命周期，不断推进产品与服务和人才的可持续发展战略。</w:t>
      </w:r>
    </w:p>
    <w:p w14:paraId="3E292341">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在产品与服务的可持续发展方面，我们将产品质量和环境保护视为保证企业乃至整个社会可持续发展的关键。质量安全是企业不容妥协的追求目标。从新产品设计、原料采购、产品制造到销售，企业不断改进技术、改善生产工艺流程，为大家提供更为安全、优质的产品和服务。为规范和提升质量管理体系，本公司编制了质量环境职业健康安全管理手册，从质量/环境/职业健康安全管理系统、管理职责、资源管理、产品实现、检测分析与改进等方面为企业质量体系建立纲领性要求。</w:t>
      </w:r>
    </w:p>
    <w:p w14:paraId="4B3A5053">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企业进一步降低污染物排放、优化能源资源利用效率、提高工艺安全管理能力、加强职业健康与安全的培训与监督，取得了良好的效果。同时，我们积极推进环境保护政策，严格治理三废污染排放物，实行清洁生产。同时，通过技术进步、工艺改进和产能布局调控等手段，实现节能减排。</w:t>
      </w:r>
    </w:p>
    <w:p w14:paraId="17286695">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严格采用供应商管理条例、供应商考核办法等，对供应商的资质、生产现场、工艺技术水平、质量保证体系等进行科学评审，分级管理，以此从源头上确保产品的质量和安全。</w:t>
      </w:r>
    </w:p>
    <w:p w14:paraId="03F42139">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在人才的可持续发展方面，我们致力于不断完善以人为本的人力资源体系，注重现有员工的职业发展，积极培养后备人才。与此同时，我们通过社会公益的教育捐助，以资金捐赠、就业实践、校企合作等方式，为企业与社会发展储备优秀人才。</w:t>
      </w:r>
    </w:p>
    <w:p w14:paraId="47AB38EF">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近一年来，我们在公司治理、经济、环境健康与安全、产品与服务、员工和社会方面不断进取，积极承担我们作为企业公民的责任。新的一年，我们将不断通过实践，积极履行社会责任，努力实现企业与社会、环境的全面协调。</w:t>
      </w:r>
    </w:p>
    <w:p w14:paraId="0EB40FA1">
      <w:pPr>
        <w:pageBreakBefore/>
        <w:jc w:val="left"/>
        <w:outlineLvl w:val="1"/>
        <w:rPr>
          <w:rFonts w:ascii="华文细黑" w:hAnsi="华文细黑" w:eastAsia="华文细黑"/>
          <w:sz w:val="24"/>
          <w:szCs w:val="24"/>
        </w:rPr>
      </w:pPr>
      <w:r>
        <w:rPr>
          <w:rFonts w:hint="eastAsia" w:ascii="华文细黑" w:hAnsi="华文细黑" w:eastAsia="华文细黑"/>
          <w:sz w:val="24"/>
          <w:szCs w:val="24"/>
        </w:rPr>
        <w:t>三、企业简介</w:t>
      </w:r>
    </w:p>
    <w:p w14:paraId="64E94591">
      <w:pPr>
        <w:spacing w:line="360" w:lineRule="auto"/>
        <w:ind w:firstLine="480" w:firstLineChars="200"/>
        <w:rPr>
          <w:rFonts w:ascii="华文细黑" w:hAnsi="华文细黑" w:eastAsia="华文细黑" w:cs="等线"/>
          <w:sz w:val="24"/>
          <w:szCs w:val="24"/>
        </w:rPr>
      </w:pPr>
      <w:r>
        <w:rPr>
          <w:rFonts w:hint="eastAsia" w:ascii="华文细黑" w:hAnsi="华文细黑" w:eastAsia="华文细黑" w:cs="等线"/>
          <w:sz w:val="24"/>
          <w:szCs w:val="24"/>
        </w:rPr>
        <w:t>浙江省浦江吴氏锁业有限公司创办于1992年,成立于1999年，注册资本3008万元，是国内挂锁行业中产销量大，品种规格全的生产企业。公司主要生产各种挂锁300余种，销往国内及俄罗斯、欧洲、南美、东南亚等国家和地区。公司现有员工170余人，其中管理技术人员35人，厂区宗地面积34978.37平方米，建筑面积34480.47平方米；年生产能力2000万把锁，202</w:t>
      </w:r>
      <w:r>
        <w:rPr>
          <w:rFonts w:hint="eastAsia" w:ascii="华文细黑" w:hAnsi="华文细黑" w:eastAsia="华文细黑" w:cs="等线"/>
          <w:sz w:val="24"/>
          <w:szCs w:val="24"/>
          <w:lang w:val="en-US" w:eastAsia="zh-CN"/>
        </w:rPr>
        <w:t>5</w:t>
      </w:r>
      <w:r>
        <w:rPr>
          <w:rFonts w:hint="eastAsia" w:ascii="华文细黑" w:hAnsi="华文细黑" w:eastAsia="华文细黑" w:cs="等线"/>
          <w:sz w:val="24"/>
          <w:szCs w:val="24"/>
        </w:rPr>
        <w:t>年实现销售收入6</w:t>
      </w:r>
      <w:r>
        <w:rPr>
          <w:rFonts w:hint="eastAsia" w:ascii="华文细黑" w:hAnsi="华文细黑" w:eastAsia="华文细黑" w:cs="等线"/>
          <w:sz w:val="24"/>
          <w:szCs w:val="24"/>
          <w:lang w:val="en-US" w:eastAsia="zh-CN"/>
        </w:rPr>
        <w:t>000</w:t>
      </w:r>
      <w:r>
        <w:rPr>
          <w:rFonts w:hint="eastAsia" w:ascii="华文细黑" w:hAnsi="华文细黑" w:eastAsia="华文细黑" w:cs="等线"/>
          <w:sz w:val="24"/>
          <w:szCs w:val="24"/>
        </w:rPr>
        <w:t>万元，上缴税收</w:t>
      </w:r>
      <w:r>
        <w:rPr>
          <w:rFonts w:hint="eastAsia" w:ascii="华文细黑" w:hAnsi="华文细黑" w:eastAsia="华文细黑" w:cs="等线"/>
          <w:sz w:val="24"/>
          <w:szCs w:val="24"/>
          <w:lang w:val="en-US" w:eastAsia="zh-CN"/>
        </w:rPr>
        <w:t>350</w:t>
      </w:r>
      <w:r>
        <w:rPr>
          <w:rFonts w:hint="eastAsia" w:ascii="华文细黑" w:hAnsi="华文细黑" w:eastAsia="华文细黑" w:cs="等线"/>
          <w:sz w:val="24"/>
          <w:szCs w:val="24"/>
        </w:rPr>
        <w:t>万元，出口创汇</w:t>
      </w:r>
      <w:r>
        <w:rPr>
          <w:rFonts w:hint="eastAsia" w:ascii="华文细黑" w:hAnsi="华文细黑" w:eastAsia="华文细黑" w:cs="等线"/>
          <w:sz w:val="24"/>
          <w:szCs w:val="24"/>
          <w:lang w:val="en-US" w:eastAsia="zh-CN"/>
        </w:rPr>
        <w:t>606</w:t>
      </w:r>
      <w:r>
        <w:rPr>
          <w:rFonts w:hint="eastAsia" w:ascii="华文细黑" w:hAnsi="华文细黑" w:eastAsia="华文细黑" w:cs="等线"/>
          <w:sz w:val="24"/>
          <w:szCs w:val="24"/>
        </w:rPr>
        <w:t>万美元。先后获得“浙江省名牌产品”、“浙江省著名商标”、“浙江省知名商号”、浙江省工商服务企业重信用守合同“AAA级信用单位”、中国优秀制锁企业、浙江省高新技术企业</w:t>
      </w:r>
      <w:r>
        <w:rPr>
          <w:rFonts w:hint="eastAsia" w:ascii="华文细黑" w:hAnsi="华文细黑" w:eastAsia="华文细黑" w:cs="等线"/>
          <w:sz w:val="24"/>
          <w:szCs w:val="24"/>
          <w:lang w:eastAsia="zh-CN"/>
        </w:rPr>
        <w:t>、浙江省科技型中小企业、浙江制造认证、国家级企业标准领跑者</w:t>
      </w:r>
      <w:r>
        <w:rPr>
          <w:rFonts w:hint="eastAsia" w:ascii="华文细黑" w:hAnsi="华文细黑" w:eastAsia="华文细黑" w:cs="等线"/>
          <w:sz w:val="24"/>
          <w:szCs w:val="24"/>
        </w:rPr>
        <w:t>等荣誉称号。</w:t>
      </w:r>
    </w:p>
    <w:p w14:paraId="641EB70C">
      <w:pPr>
        <w:rPr>
          <w:rFonts w:ascii="华文细黑" w:hAnsi="华文细黑" w:eastAsia="华文细黑" w:cs="等线"/>
          <w:sz w:val="24"/>
          <w:szCs w:val="24"/>
        </w:rPr>
      </w:pPr>
    </w:p>
    <w:p w14:paraId="09612C5E">
      <w:pPr>
        <w:pageBreakBefore/>
        <w:spacing w:line="360" w:lineRule="auto"/>
        <w:ind w:firstLine="640" w:firstLineChars="200"/>
        <w:jc w:val="center"/>
        <w:outlineLvl w:val="0"/>
        <w:rPr>
          <w:rFonts w:ascii="华文细黑" w:hAnsi="华文细黑" w:eastAsia="华文细黑"/>
          <w:sz w:val="32"/>
          <w:szCs w:val="32"/>
        </w:rPr>
      </w:pPr>
      <w:r>
        <w:rPr>
          <w:rFonts w:hint="eastAsia" w:ascii="华文细黑" w:hAnsi="华文细黑" w:eastAsia="华文细黑"/>
          <w:sz w:val="32"/>
          <w:szCs w:val="32"/>
        </w:rPr>
        <w:t>第二部分 报告正文</w:t>
      </w:r>
    </w:p>
    <w:p w14:paraId="6FEFBFED">
      <w:pPr>
        <w:spacing w:line="480" w:lineRule="exact"/>
        <w:jc w:val="left"/>
        <w:outlineLvl w:val="1"/>
        <w:rPr>
          <w:rFonts w:ascii="华文细黑" w:hAnsi="华文细黑" w:eastAsia="华文细黑"/>
          <w:sz w:val="24"/>
          <w:szCs w:val="24"/>
        </w:rPr>
      </w:pPr>
      <w:r>
        <w:rPr>
          <w:rFonts w:hint="eastAsia" w:ascii="华文细黑" w:hAnsi="华文细黑" w:eastAsia="华文细黑"/>
          <w:sz w:val="24"/>
          <w:szCs w:val="24"/>
        </w:rPr>
        <w:t>一、经营与发展综述</w:t>
      </w:r>
    </w:p>
    <w:p w14:paraId="5BA2E6A0">
      <w:pPr>
        <w:spacing w:line="480" w:lineRule="exact"/>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（一）</w:t>
      </w:r>
      <w:r>
        <w:rPr>
          <w:rFonts w:hint="eastAsia" w:ascii="华文细黑" w:hAnsi="华文细黑" w:eastAsia="华文细黑" w:cs="宋体"/>
          <w:kern w:val="0"/>
          <w:sz w:val="24"/>
          <w:szCs w:val="24"/>
        </w:rPr>
        <w:t>近一</w:t>
      </w:r>
      <w:r>
        <w:rPr>
          <w:rFonts w:hint="eastAsia" w:ascii="华文细黑" w:hAnsi="华文细黑" w:eastAsia="华文细黑" w:cs="宋体"/>
          <w:kern w:val="0"/>
          <w:sz w:val="24"/>
          <w:szCs w:val="24"/>
          <w:lang w:val="zh-CN"/>
        </w:rPr>
        <w:t>年经营情况</w:t>
      </w:r>
    </w:p>
    <w:p w14:paraId="137667F6">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近一年来，在公司全体员工共同努力下，公司面对严峻的外部环境创新破难、共克时坚，产销量、销售收入、利润等主要济指标，经济总量</w:t>
      </w:r>
      <w:r>
        <w:rPr>
          <w:rFonts w:hint="eastAsia" w:ascii="华文细黑" w:hAnsi="华文细黑" w:eastAsia="华文细黑"/>
          <w:sz w:val="24"/>
          <w:szCs w:val="24"/>
          <w:lang w:eastAsia="zh-CN"/>
        </w:rPr>
        <w:t>略有下降。</w:t>
      </w:r>
    </w:p>
    <w:p w14:paraId="4340C56E">
      <w:pPr>
        <w:pStyle w:val="10"/>
        <w:spacing w:line="480" w:lineRule="exact"/>
        <w:rPr>
          <w:rFonts w:hint="default" w:ascii="华文细黑" w:hAnsi="华文细黑" w:eastAsia="华文细黑"/>
          <w:sz w:val="24"/>
          <w:szCs w:val="24"/>
          <w:lang w:val="en-US" w:eastAsia="zh-CN"/>
        </w:rPr>
      </w:pPr>
      <w:r>
        <w:rPr>
          <w:rFonts w:hint="eastAsia" w:ascii="华文细黑" w:hAnsi="华文细黑" w:eastAsia="华文细黑"/>
          <w:sz w:val="24"/>
          <w:szCs w:val="24"/>
        </w:rPr>
        <w:t>公司积极履行社会责任，缴纳税款。连续多年被浦江县人民政府授予“纳税超壹佰万元企业”、“纳税优胜企业”等荣誉称号。</w:t>
      </w:r>
      <w:r>
        <w:rPr>
          <w:rFonts w:hint="eastAsia" w:ascii="华文细黑" w:hAnsi="华文细黑" w:eastAsia="华文细黑"/>
          <w:sz w:val="24"/>
          <w:szCs w:val="24"/>
          <w:lang w:val="en-US" w:eastAsia="zh-CN"/>
        </w:rPr>
        <w:t>2025年纳税总额350万元。比2024年略有下降。</w:t>
      </w:r>
    </w:p>
    <w:p w14:paraId="66C07A8B">
      <w:pPr>
        <w:pStyle w:val="10"/>
        <w:spacing w:line="480" w:lineRule="exact"/>
        <w:ind w:firstLine="480"/>
        <w:jc w:val="both"/>
        <w:rPr>
          <w:rFonts w:ascii="华文细黑" w:hAnsi="华文细黑" w:eastAsia="华文细黑"/>
          <w:sz w:val="24"/>
          <w:szCs w:val="24"/>
        </w:rPr>
      </w:pPr>
      <w:r>
        <w:rPr>
          <w:rFonts w:hint="eastAsia" w:ascii="华文细黑" w:hAnsi="华文细黑" w:eastAsia="华文细黑"/>
          <w:sz w:val="24"/>
          <w:szCs w:val="24"/>
        </w:rPr>
        <w:t>2</w:t>
      </w:r>
      <w:r>
        <w:rPr>
          <w:rFonts w:ascii="华文细黑" w:hAnsi="华文细黑" w:eastAsia="华文细黑"/>
          <w:sz w:val="24"/>
          <w:szCs w:val="24"/>
        </w:rPr>
        <w:t>02</w:t>
      </w:r>
      <w:r>
        <w:rPr>
          <w:rFonts w:hint="eastAsia" w:ascii="华文细黑" w:hAnsi="华文细黑" w:eastAsia="华文细黑"/>
          <w:sz w:val="24"/>
          <w:szCs w:val="24"/>
          <w:lang w:val="en-US" w:eastAsia="zh-CN"/>
        </w:rPr>
        <w:t>4</w:t>
      </w:r>
      <w:r>
        <w:rPr>
          <w:rFonts w:hint="eastAsia" w:ascii="华文细黑" w:hAnsi="华文细黑" w:eastAsia="华文细黑"/>
          <w:sz w:val="24"/>
          <w:szCs w:val="24"/>
        </w:rPr>
        <w:t>年度“纳税</w:t>
      </w:r>
      <w:r>
        <w:rPr>
          <w:rFonts w:hint="eastAsia" w:ascii="华文细黑" w:hAnsi="华文细黑" w:eastAsia="华文细黑"/>
          <w:sz w:val="24"/>
          <w:szCs w:val="24"/>
          <w:lang w:eastAsia="zh-CN"/>
        </w:rPr>
        <w:t>优胜</w:t>
      </w:r>
      <w:r>
        <w:rPr>
          <w:rFonts w:hint="eastAsia" w:ascii="华文细黑" w:hAnsi="华文细黑" w:eastAsia="华文细黑"/>
          <w:sz w:val="24"/>
          <w:szCs w:val="24"/>
        </w:rPr>
        <w:t>企业”、2</w:t>
      </w:r>
      <w:r>
        <w:rPr>
          <w:rFonts w:ascii="华文细黑" w:hAnsi="华文细黑" w:eastAsia="华文细黑"/>
          <w:sz w:val="24"/>
          <w:szCs w:val="24"/>
        </w:rPr>
        <w:t>02</w:t>
      </w:r>
      <w:r>
        <w:rPr>
          <w:rFonts w:hint="eastAsia" w:ascii="华文细黑" w:hAnsi="华文细黑" w:eastAsia="华文细黑"/>
          <w:sz w:val="24"/>
          <w:szCs w:val="24"/>
          <w:lang w:val="en-US" w:eastAsia="zh-CN"/>
        </w:rPr>
        <w:t>4</w:t>
      </w:r>
      <w:r>
        <w:rPr>
          <w:rFonts w:hint="eastAsia" w:ascii="华文细黑" w:hAnsi="华文细黑" w:eastAsia="华文细黑"/>
          <w:sz w:val="24"/>
          <w:szCs w:val="24"/>
        </w:rPr>
        <w:t>年度“</w:t>
      </w:r>
      <w:r>
        <w:rPr>
          <w:rFonts w:hint="eastAsia" w:ascii="华文细黑" w:hAnsi="华文细黑" w:eastAsia="华文细黑"/>
          <w:sz w:val="24"/>
          <w:szCs w:val="24"/>
          <w:lang w:eastAsia="zh-CN"/>
        </w:rPr>
        <w:t>高新优质</w:t>
      </w:r>
      <w:r>
        <w:rPr>
          <w:rFonts w:hint="eastAsia" w:ascii="华文细黑" w:hAnsi="华文细黑" w:eastAsia="华文细黑"/>
          <w:sz w:val="24"/>
          <w:szCs w:val="24"/>
        </w:rPr>
        <w:t>企业”荣誉称号</w:t>
      </w:r>
    </w:p>
    <w:p w14:paraId="46978FAB">
      <w:pPr>
        <w:pStyle w:val="10"/>
        <w:spacing w:line="240" w:lineRule="auto"/>
        <w:ind w:firstLine="480"/>
        <w:rPr>
          <w:rFonts w:hint="eastAsia" w:ascii="华文细黑" w:hAnsi="华文细黑" w:eastAsia="华文细黑"/>
          <w:sz w:val="24"/>
          <w:szCs w:val="24"/>
          <w:lang w:eastAsia="zh-CN"/>
        </w:rPr>
      </w:pPr>
      <w:r>
        <w:rPr>
          <w:rFonts w:hint="eastAsia" w:ascii="华文细黑" w:hAnsi="华文细黑" w:eastAsia="华文细黑"/>
          <w:sz w:val="24"/>
          <w:szCs w:val="24"/>
          <w:lang w:eastAsia="zh-CN"/>
        </w:rPr>
        <w:drawing>
          <wp:inline distT="0" distB="0" distL="114300" distR="114300">
            <wp:extent cx="2590165" cy="1639570"/>
            <wp:effectExtent l="0" t="0" r="635" b="6350"/>
            <wp:docPr id="2" name="图片 2" descr="302447dd7450c7f80050cb739da3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02447dd7450c7f80050cb739da3f50"/>
                    <pic:cNvPicPr>
                      <a:picLocks noChangeAspect="1"/>
                    </pic:cNvPicPr>
                  </pic:nvPicPr>
                  <pic:blipFill>
                    <a:blip r:embed="rId7"/>
                    <a:stretch>
                      <a:fillRect/>
                    </a:stretch>
                  </pic:blipFill>
                  <pic:spPr>
                    <a:xfrm>
                      <a:off x="0" y="0"/>
                      <a:ext cx="2590165" cy="1639570"/>
                    </a:xfrm>
                    <a:prstGeom prst="rect">
                      <a:avLst/>
                    </a:prstGeom>
                  </pic:spPr>
                </pic:pic>
              </a:graphicData>
            </a:graphic>
          </wp:inline>
        </w:drawing>
      </w:r>
      <w:r>
        <w:rPr>
          <w:rFonts w:hint="eastAsia" w:ascii="华文细黑" w:hAnsi="华文细黑" w:eastAsia="华文细黑"/>
          <w:sz w:val="24"/>
          <w:szCs w:val="24"/>
          <w:lang w:eastAsia="zh-CN"/>
        </w:rPr>
        <w:drawing>
          <wp:inline distT="0" distB="0" distL="114300" distR="114300">
            <wp:extent cx="2673985" cy="1607185"/>
            <wp:effectExtent l="0" t="0" r="8255" b="8255"/>
            <wp:docPr id="3" name="图片 3" descr="809c7f572b69d0e561d1616c86d8a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09c7f572b69d0e561d1616c86d8af9"/>
                    <pic:cNvPicPr>
                      <a:picLocks noChangeAspect="1"/>
                    </pic:cNvPicPr>
                  </pic:nvPicPr>
                  <pic:blipFill>
                    <a:blip r:embed="rId8"/>
                    <a:stretch>
                      <a:fillRect/>
                    </a:stretch>
                  </pic:blipFill>
                  <pic:spPr>
                    <a:xfrm>
                      <a:off x="0" y="0"/>
                      <a:ext cx="2673985" cy="1607185"/>
                    </a:xfrm>
                    <a:prstGeom prst="rect">
                      <a:avLst/>
                    </a:prstGeom>
                  </pic:spPr>
                </pic:pic>
              </a:graphicData>
            </a:graphic>
          </wp:inline>
        </w:drawing>
      </w:r>
    </w:p>
    <w:p w14:paraId="407F080E">
      <w:pPr>
        <w:spacing w:line="480" w:lineRule="exact"/>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（二）未来发展计划</w:t>
      </w:r>
    </w:p>
    <w:p w14:paraId="6464EA0F">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确定了未来五年战略规划为“增长型战略”，以质量管理为中心、技术创新为依托、市场需求为导向、人才培养为支撑、管理创新为动力，进一步扩大市场占有率并打响国内品牌知名度，产品质量和品牌两手抓。适应市场环境的变化，不断调整企业的经营方向与目标。</w:t>
      </w:r>
    </w:p>
    <w:p w14:paraId="0E742DA6">
      <w:pPr>
        <w:spacing w:line="480" w:lineRule="exact"/>
        <w:jc w:val="left"/>
        <w:outlineLvl w:val="1"/>
        <w:rPr>
          <w:rFonts w:ascii="华文细黑" w:hAnsi="华文细黑" w:eastAsia="华文细黑"/>
          <w:sz w:val="24"/>
          <w:szCs w:val="24"/>
        </w:rPr>
      </w:pPr>
      <w:r>
        <w:rPr>
          <w:rFonts w:hint="eastAsia" w:ascii="华文细黑" w:hAnsi="华文细黑" w:eastAsia="华文细黑"/>
          <w:sz w:val="24"/>
          <w:szCs w:val="24"/>
        </w:rPr>
        <w:t>二、社会责任实践</w:t>
      </w:r>
    </w:p>
    <w:p w14:paraId="1A07F7DF">
      <w:pPr>
        <w:spacing w:line="480" w:lineRule="exact"/>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（一）公司治理制度</w:t>
      </w:r>
    </w:p>
    <w:p w14:paraId="3EBCF330">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把公司治理与生产经营工作有机结合起来。严格按照《中华人民共和国公司法》和国家相关法律、法规、规章的要求，建立现代企业制度，完善法人治理结构，规范公司运作。公司构建了扁平化的组织结构，合理减少管理层次，缩短纵向沟通距离，提高工作效率。每个部门都是其它部门的内部客户和服务者，双向岗位责任环环相扣，促进上下工序员工之间的沟通与合作，最大限度提高组织的运作效率。</w:t>
      </w:r>
    </w:p>
    <w:p w14:paraId="4763D61D">
      <w:pPr>
        <w:spacing w:line="480" w:lineRule="exact"/>
        <w:ind w:firstLine="480" w:firstLineChars="200"/>
        <w:jc w:val="center"/>
        <w:outlineLvl w:val="2"/>
        <w:rPr>
          <w:rFonts w:hint="eastAsia" w:ascii="华文细黑" w:hAnsi="华文细黑" w:eastAsia="华文细黑" w:cs="宋体"/>
          <w:kern w:val="0"/>
          <w:sz w:val="24"/>
          <w:szCs w:val="24"/>
          <w:lang w:val="zh-CN"/>
        </w:rPr>
      </w:pPr>
    </w:p>
    <w:p w14:paraId="71CA55B8">
      <w:pPr>
        <w:spacing w:line="480" w:lineRule="exact"/>
        <w:ind w:firstLine="480" w:firstLineChars="200"/>
        <w:jc w:val="center"/>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公司组织机构图</w:t>
      </w:r>
    </w:p>
    <w:p w14:paraId="7A477983">
      <w:pPr>
        <w:spacing w:line="480" w:lineRule="exact"/>
        <w:ind w:firstLine="420" w:firstLineChars="200"/>
        <w:jc w:val="center"/>
        <w:outlineLvl w:val="2"/>
        <w:rPr>
          <w:sz w:val="24"/>
          <w:szCs w:val="24"/>
        </w:rPr>
      </w:pPr>
      <w:r>
        <w:drawing>
          <wp:anchor distT="0" distB="0" distL="114300" distR="114300" simplePos="0" relativeHeight="251661312" behindDoc="0" locked="0" layoutInCell="1" allowOverlap="1">
            <wp:simplePos x="0" y="0"/>
            <wp:positionH relativeFrom="column">
              <wp:posOffset>471170</wp:posOffset>
            </wp:positionH>
            <wp:positionV relativeFrom="paragraph">
              <wp:posOffset>43180</wp:posOffset>
            </wp:positionV>
            <wp:extent cx="5100955" cy="2122805"/>
            <wp:effectExtent l="0" t="0" r="4445" b="0"/>
            <wp:wrapNone/>
            <wp:docPr id="1398694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94192" name="图片 1"/>
                    <pic:cNvPicPr>
                      <a:picLocks noChangeAspect="1"/>
                    </pic:cNvPicPr>
                  </pic:nvPicPr>
                  <pic:blipFill>
                    <a:blip r:embed="rId9">
                      <a:extLst>
                        <a:ext uri="{28A0092B-C50C-407E-A947-70E740481C1C}">
                          <a14:useLocalDpi xmlns:a14="http://schemas.microsoft.com/office/drawing/2010/main" val="0"/>
                        </a:ext>
                      </a:extLst>
                    </a:blip>
                    <a:srcRect t="9716"/>
                    <a:stretch>
                      <a:fillRect/>
                    </a:stretch>
                  </pic:blipFill>
                  <pic:spPr>
                    <a:xfrm>
                      <a:off x="0" y="0"/>
                      <a:ext cx="5101144" cy="2123038"/>
                    </a:xfrm>
                    <a:prstGeom prst="rect">
                      <a:avLst/>
                    </a:prstGeom>
                    <a:ln>
                      <a:noFill/>
                    </a:ln>
                  </pic:spPr>
                </pic:pic>
              </a:graphicData>
            </a:graphic>
          </wp:anchor>
        </w:drawing>
      </w:r>
    </w:p>
    <w:p w14:paraId="230D9898">
      <w:pPr>
        <w:spacing w:line="480" w:lineRule="exact"/>
        <w:ind w:firstLine="480" w:firstLineChars="200"/>
        <w:jc w:val="center"/>
        <w:outlineLvl w:val="2"/>
        <w:rPr>
          <w:sz w:val="24"/>
          <w:szCs w:val="24"/>
        </w:rPr>
      </w:pPr>
    </w:p>
    <w:p w14:paraId="5BA3B863">
      <w:pPr>
        <w:spacing w:line="480" w:lineRule="exact"/>
        <w:ind w:firstLine="480" w:firstLineChars="200"/>
        <w:jc w:val="center"/>
        <w:outlineLvl w:val="2"/>
        <w:rPr>
          <w:sz w:val="24"/>
          <w:szCs w:val="24"/>
        </w:rPr>
      </w:pPr>
    </w:p>
    <w:p w14:paraId="3E3E803E">
      <w:pPr>
        <w:spacing w:line="480" w:lineRule="exact"/>
        <w:ind w:firstLine="480" w:firstLineChars="200"/>
        <w:jc w:val="center"/>
        <w:outlineLvl w:val="2"/>
        <w:rPr>
          <w:rFonts w:hint="eastAsia"/>
          <w:sz w:val="24"/>
          <w:szCs w:val="24"/>
        </w:rPr>
      </w:pPr>
    </w:p>
    <w:p w14:paraId="32E59E82">
      <w:pPr>
        <w:spacing w:line="480" w:lineRule="exact"/>
        <w:ind w:firstLine="480" w:firstLineChars="200"/>
        <w:jc w:val="center"/>
        <w:outlineLvl w:val="2"/>
        <w:rPr>
          <w:sz w:val="24"/>
          <w:szCs w:val="24"/>
        </w:rPr>
      </w:pPr>
    </w:p>
    <w:p w14:paraId="2CBD3FFB">
      <w:pPr>
        <w:spacing w:line="480" w:lineRule="exact"/>
        <w:ind w:firstLine="480" w:firstLineChars="200"/>
        <w:jc w:val="center"/>
        <w:outlineLvl w:val="2"/>
        <w:rPr>
          <w:rFonts w:hint="eastAsia"/>
          <w:sz w:val="24"/>
          <w:szCs w:val="24"/>
        </w:rPr>
      </w:pPr>
    </w:p>
    <w:p w14:paraId="2DFEB453">
      <w:pPr>
        <w:spacing w:line="480" w:lineRule="exact"/>
        <w:ind w:firstLine="480" w:firstLineChars="200"/>
        <w:jc w:val="center"/>
        <w:outlineLvl w:val="2"/>
        <w:rPr>
          <w:sz w:val="24"/>
          <w:szCs w:val="24"/>
        </w:rPr>
      </w:pPr>
    </w:p>
    <w:p w14:paraId="062A1A2B">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根据公司发展需要，制定各个部门职责，及其职务说明书与权限，形成《岗位权责书》。</w:t>
      </w:r>
    </w:p>
    <w:p w14:paraId="183A8F02">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为了更好的听取和采取员工、客户的各种意见和建议，有利于在不同的部门、职位和地区之间实现有效的沟通和技能的共享。公司针对性的设计了工作系统，并对各类别的信息沟通反馈设计了针对性的部门，明确其职责。</w:t>
      </w:r>
    </w:p>
    <w:p w14:paraId="198CF9B9">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公司各级部门按照明确的职务说明书和权限，共同确保公司产品和服务的质量。</w:t>
      </w:r>
    </w:p>
    <w:p w14:paraId="5054F84F">
      <w:pPr>
        <w:spacing w:line="480" w:lineRule="exact"/>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（二）股东权益保护</w:t>
      </w:r>
    </w:p>
    <w:p w14:paraId="66C6E130">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公司重视对股东利益的保护，年终决算报表经审计后报董事会，确定利润分配方案，经股东会批准向股东分红；审议重大事项时，召开股东大会，切实保证股东权益。</w:t>
      </w:r>
    </w:p>
    <w:p w14:paraId="76B9DD41">
      <w:pPr>
        <w:spacing w:line="480" w:lineRule="exact"/>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（三）职工权益保护</w:t>
      </w:r>
    </w:p>
    <w:p w14:paraId="5369F941">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吴氏在谋求自身发展同时，时刻不忘为公司做出贡献的员工，公司领导心系员工需求，切实把企业对员工的关心、关怀传递给每一个员工，让全体员工共享企业发展的成果。</w:t>
      </w:r>
    </w:p>
    <w:p w14:paraId="238C0928">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1、营造以人为本，营造健康、安全、舒适的良好工作环境</w:t>
      </w:r>
    </w:p>
    <w:p w14:paraId="4E481581">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1）公司为保障员工生命安全和职业健康，成立了安全生产委员会。安全生产委员会通过安全知识培训、开展安全比赛，强化全员安全意识，降低事故发生率。公司认真贯彻执行《中华人民共和国劳动法》、《中华人民共和国安全生产法》、《中华人民共和国职业病防治法》，对特殊工种采取特殊防护，配置必须的劳保用品。</w:t>
      </w:r>
    </w:p>
    <w:p w14:paraId="3E6DC4C3">
      <w:pPr>
        <w:pStyle w:val="10"/>
        <w:spacing w:line="480" w:lineRule="exact"/>
        <w:ind w:firstLine="480"/>
        <w:jc w:val="left"/>
        <w:rPr>
          <w:rFonts w:ascii="华文细黑" w:hAnsi="华文细黑" w:eastAsia="华文细黑"/>
          <w:sz w:val="24"/>
          <w:szCs w:val="24"/>
        </w:rPr>
      </w:pPr>
      <w:r>
        <w:rPr>
          <w:rFonts w:hint="eastAsia" w:ascii="华文细黑" w:hAnsi="华文细黑" w:eastAsia="华文细黑"/>
          <w:sz w:val="24"/>
          <w:szCs w:val="24"/>
        </w:rPr>
        <w:t>（2）为了规范安全操作，公司会定期对车间及办公区域进行5S安全检查，并及时记录安全隐患，改善车间及</w:t>
      </w:r>
      <w:r>
        <w:rPr>
          <w:rFonts w:hint="eastAsia" w:ascii="华文细黑" w:hAnsi="华文细黑" w:eastAsia="华文细黑"/>
          <w:sz w:val="24"/>
          <w:szCs w:val="24"/>
          <w:lang w:eastAsia="zh-CN"/>
        </w:rPr>
        <w:t>厂区</w:t>
      </w:r>
      <w:r>
        <w:rPr>
          <w:rFonts w:hint="eastAsia" w:ascii="华文细黑" w:hAnsi="华文细黑" w:eastAsia="华文细黑"/>
          <w:sz w:val="24"/>
          <w:szCs w:val="24"/>
        </w:rPr>
        <w:t>环境。公司会鼓励员工通过内部会议或文件、总经理信箱</w:t>
      </w:r>
      <w:r>
        <w:rPr>
          <w:rFonts w:hint="eastAsia" w:ascii="华文细黑" w:hAnsi="华文细黑" w:eastAsia="华文细黑"/>
          <w:sz w:val="24"/>
          <w:szCs w:val="24"/>
          <w:lang w:eastAsia="zh-CN"/>
        </w:rPr>
        <w:t>、管理群等载体</w:t>
      </w:r>
      <w:r>
        <w:rPr>
          <w:rFonts w:hint="eastAsia" w:ascii="华文细黑" w:hAnsi="华文细黑" w:eastAsia="华文细黑"/>
          <w:sz w:val="24"/>
          <w:szCs w:val="24"/>
        </w:rPr>
        <w:t>直接反映不安全因素和不规范操作，提交改进意见。公司会还通过每年举行多种活动让员工参与安全环境改善工作。</w:t>
      </w:r>
    </w:p>
    <w:p w14:paraId="142250F2">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（3）公司车间的工作环境中对员工身体最有影响的因素是高温。公司配备了风扇、空调等降温设备，并在酷暑时节为员工发放防暑降温饮品，配备防暑药品，有效解决了高温带来的危害。</w:t>
      </w:r>
    </w:p>
    <w:p w14:paraId="6C58E834">
      <w:pPr>
        <w:pStyle w:val="10"/>
        <w:spacing w:line="480" w:lineRule="exact"/>
        <w:ind w:firstLine="480"/>
        <w:jc w:val="center"/>
        <w:rPr>
          <w:rFonts w:ascii="华文细黑" w:hAnsi="华文细黑" w:eastAsia="华文细黑"/>
          <w:sz w:val="24"/>
          <w:szCs w:val="24"/>
        </w:rPr>
      </w:pPr>
      <w:r>
        <w:rPr>
          <w:rFonts w:hint="eastAsia" w:ascii="华文细黑" w:hAnsi="华文细黑" w:eastAsia="华文细黑"/>
          <w:sz w:val="24"/>
          <w:szCs w:val="24"/>
        </w:rPr>
        <w:t>良好的厂区环境</w:t>
      </w:r>
    </w:p>
    <w:p w14:paraId="42BADC46">
      <w:pPr>
        <w:pStyle w:val="10"/>
        <w:spacing w:line="480" w:lineRule="exact"/>
        <w:ind w:firstLine="480"/>
        <w:jc w:val="center"/>
        <w:rPr>
          <w:rFonts w:ascii="华文细黑" w:hAnsi="华文细黑" w:eastAsia="华文细黑"/>
          <w:sz w:val="24"/>
          <w:szCs w:val="24"/>
        </w:rPr>
      </w:pPr>
      <w:r>
        <w:rPr>
          <w:rFonts w:ascii="华文细黑" w:hAnsi="华文细黑" w:eastAsia="华文细黑"/>
          <w:sz w:val="24"/>
          <w:szCs w:val="24"/>
        </w:rPr>
        <w:drawing>
          <wp:anchor distT="0" distB="0" distL="114300" distR="114300" simplePos="0" relativeHeight="251662336" behindDoc="0" locked="0" layoutInCell="1" allowOverlap="1">
            <wp:simplePos x="0" y="0"/>
            <wp:positionH relativeFrom="column">
              <wp:posOffset>837565</wp:posOffset>
            </wp:positionH>
            <wp:positionV relativeFrom="paragraph">
              <wp:posOffset>17780</wp:posOffset>
            </wp:positionV>
            <wp:extent cx="4257675" cy="2395220"/>
            <wp:effectExtent l="0" t="0" r="0" b="5080"/>
            <wp:wrapNone/>
            <wp:docPr id="5093852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85284"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257845" cy="2395507"/>
                    </a:xfrm>
                    <a:prstGeom prst="rect">
                      <a:avLst/>
                    </a:prstGeom>
                    <a:noFill/>
                    <a:ln>
                      <a:noFill/>
                    </a:ln>
                  </pic:spPr>
                </pic:pic>
              </a:graphicData>
            </a:graphic>
          </wp:anchor>
        </w:drawing>
      </w:r>
    </w:p>
    <w:p w14:paraId="66E65C81">
      <w:pPr>
        <w:pStyle w:val="10"/>
        <w:spacing w:line="480" w:lineRule="exact"/>
        <w:ind w:firstLine="480"/>
        <w:jc w:val="center"/>
        <w:rPr>
          <w:rFonts w:ascii="华文细黑" w:hAnsi="华文细黑" w:eastAsia="华文细黑"/>
          <w:sz w:val="24"/>
          <w:szCs w:val="24"/>
        </w:rPr>
      </w:pPr>
    </w:p>
    <w:p w14:paraId="3F344904">
      <w:pPr>
        <w:pStyle w:val="10"/>
        <w:spacing w:line="480" w:lineRule="exact"/>
        <w:ind w:firstLine="480"/>
        <w:jc w:val="center"/>
        <w:rPr>
          <w:rFonts w:ascii="华文细黑" w:hAnsi="华文细黑" w:eastAsia="华文细黑"/>
          <w:sz w:val="24"/>
          <w:szCs w:val="24"/>
        </w:rPr>
      </w:pPr>
    </w:p>
    <w:p w14:paraId="20F0708C">
      <w:pPr>
        <w:pStyle w:val="10"/>
        <w:spacing w:line="480" w:lineRule="exact"/>
        <w:ind w:firstLine="480"/>
        <w:jc w:val="center"/>
        <w:rPr>
          <w:rFonts w:ascii="华文细黑" w:hAnsi="华文细黑" w:eastAsia="华文细黑"/>
          <w:sz w:val="24"/>
          <w:szCs w:val="24"/>
        </w:rPr>
      </w:pPr>
    </w:p>
    <w:p w14:paraId="67F4E024">
      <w:pPr>
        <w:pStyle w:val="10"/>
        <w:spacing w:line="480" w:lineRule="exact"/>
        <w:ind w:firstLine="480"/>
        <w:jc w:val="center"/>
        <w:rPr>
          <w:rFonts w:ascii="华文细黑" w:hAnsi="华文细黑" w:eastAsia="华文细黑"/>
          <w:sz w:val="24"/>
          <w:szCs w:val="24"/>
        </w:rPr>
      </w:pPr>
    </w:p>
    <w:p w14:paraId="32FB1D41">
      <w:pPr>
        <w:pStyle w:val="10"/>
        <w:spacing w:line="480" w:lineRule="exact"/>
        <w:ind w:firstLine="480"/>
        <w:jc w:val="center"/>
        <w:rPr>
          <w:rFonts w:ascii="华文细黑" w:hAnsi="华文细黑" w:eastAsia="华文细黑"/>
          <w:sz w:val="24"/>
          <w:szCs w:val="24"/>
        </w:rPr>
      </w:pPr>
    </w:p>
    <w:p w14:paraId="59308C41">
      <w:pPr>
        <w:pStyle w:val="10"/>
        <w:spacing w:line="480" w:lineRule="exact"/>
        <w:ind w:firstLine="480"/>
        <w:jc w:val="center"/>
        <w:rPr>
          <w:rFonts w:ascii="华文细黑" w:hAnsi="华文细黑" w:eastAsia="华文细黑"/>
          <w:sz w:val="24"/>
          <w:szCs w:val="24"/>
        </w:rPr>
      </w:pPr>
    </w:p>
    <w:p w14:paraId="20E3478C">
      <w:pPr>
        <w:pStyle w:val="10"/>
        <w:spacing w:line="480" w:lineRule="exact"/>
        <w:ind w:firstLine="480"/>
        <w:jc w:val="center"/>
        <w:rPr>
          <w:rFonts w:hint="eastAsia" w:ascii="华文细黑" w:hAnsi="华文细黑" w:eastAsia="华文细黑"/>
          <w:sz w:val="24"/>
          <w:szCs w:val="24"/>
        </w:rPr>
      </w:pPr>
    </w:p>
    <w:p w14:paraId="0388212B">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2、保护员工权益，关爱员工，发放各种福利，并解决员工工作和生活中的实际问题和困难</w:t>
      </w:r>
    </w:p>
    <w:p w14:paraId="186D2C84">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各类员工合同签订率100%，合同执行100%，加班时间按照国家法律规定执行，社保完全按法律规定缴纳，公司根据国家劳动法律法规的相关要求制定了以岗位绩效工资制为主体的工资分配制度，按时足额发放员工薪酬，使员工薪酬与企业经营成果相匹配。</w:t>
      </w:r>
    </w:p>
    <w:p w14:paraId="2F5178C7">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高层领导及时倾听广大员工的心声，了解员工支持和保障措施的效果，进一步解决员工工作和生活中的实际问题和困难；对于具名的员工申诉，公司开通了畅通的员工申诉管理通道。无论是建议还是意见，对于各级人员的信息都进行详细的反馈，让员工了解到公司关注了员工的想法，公司重视员工的想法。</w:t>
      </w:r>
    </w:p>
    <w:p w14:paraId="6393464E">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积极倡导“以人为本”的管理理念，在识别不同岗位类别人员的需求同时，还特别关注这些人群中的特殊群体，如关注女性员工的工作环境、工作时间、工作强度以及长期性的职业发展、公平机会等因素。针对现在越来越多的</w:t>
      </w:r>
      <w:r>
        <w:rPr>
          <w:rFonts w:ascii="华文细黑" w:hAnsi="华文细黑" w:eastAsia="华文细黑"/>
          <w:sz w:val="24"/>
          <w:szCs w:val="24"/>
        </w:rPr>
        <w:t>00</w:t>
      </w:r>
      <w:r>
        <w:rPr>
          <w:rFonts w:hint="eastAsia" w:ascii="华文细黑" w:hAnsi="华文细黑" w:eastAsia="华文细黑"/>
          <w:sz w:val="24"/>
          <w:szCs w:val="24"/>
        </w:rPr>
        <w:t>后群体的特质给予更多的关注。同时公司针对不同层次的员工需求制订了各种保障措施，并对员工进行针对性、个性化的全面支持，把公司打造成为真正的成长平台。公司积极开展员工满意度调查活动，不定期获取员工需求和期望，并积极满足这些需求和期望。员工满意度非常高。</w:t>
      </w:r>
    </w:p>
    <w:p w14:paraId="31F21E28">
      <w:pPr>
        <w:pStyle w:val="10"/>
        <w:spacing w:line="480" w:lineRule="exact"/>
        <w:ind w:firstLine="480"/>
        <w:jc w:val="center"/>
        <w:rPr>
          <w:rFonts w:ascii="华文细黑" w:hAnsi="华文细黑" w:eastAsia="华文细黑"/>
          <w:sz w:val="24"/>
          <w:szCs w:val="24"/>
        </w:rPr>
      </w:pPr>
      <w:r>
        <w:rPr>
          <w:rFonts w:hint="eastAsia" w:ascii="华文细黑" w:hAnsi="华文细黑" w:eastAsia="华文细黑"/>
          <w:sz w:val="24"/>
          <w:szCs w:val="24"/>
        </w:rPr>
        <w:t>配备健身器材</w:t>
      </w:r>
    </w:p>
    <w:p w14:paraId="39DB6B54">
      <w:pPr>
        <w:pStyle w:val="10"/>
        <w:spacing w:line="480" w:lineRule="exact"/>
        <w:ind w:firstLine="480"/>
        <w:jc w:val="center"/>
        <w:rPr>
          <w:rFonts w:ascii="华文细黑" w:hAnsi="华文细黑" w:eastAsia="华文细黑"/>
          <w:sz w:val="24"/>
          <w:szCs w:val="24"/>
        </w:rPr>
      </w:pPr>
      <w:r>
        <w:rPr>
          <w:rFonts w:ascii="华文细黑" w:hAnsi="华文细黑" w:eastAsia="华文细黑"/>
          <w:sz w:val="24"/>
          <w:szCs w:val="24"/>
        </w:rPr>
        <w:drawing>
          <wp:anchor distT="0" distB="0" distL="114300" distR="114300" simplePos="0" relativeHeight="251664384" behindDoc="0" locked="0" layoutInCell="1" allowOverlap="1">
            <wp:simplePos x="0" y="0"/>
            <wp:positionH relativeFrom="column">
              <wp:posOffset>3214370</wp:posOffset>
            </wp:positionH>
            <wp:positionV relativeFrom="paragraph">
              <wp:posOffset>29210</wp:posOffset>
            </wp:positionV>
            <wp:extent cx="2838450" cy="2660650"/>
            <wp:effectExtent l="0" t="0" r="635" b="6985"/>
            <wp:wrapNone/>
            <wp:docPr id="14215860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86039"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t="6391" r="10606" b="30781"/>
                    <a:stretch>
                      <a:fillRect/>
                    </a:stretch>
                  </pic:blipFill>
                  <pic:spPr>
                    <a:xfrm>
                      <a:off x="0" y="0"/>
                      <a:ext cx="2838261" cy="2660592"/>
                    </a:xfrm>
                    <a:prstGeom prst="rect">
                      <a:avLst/>
                    </a:prstGeom>
                    <a:noFill/>
                    <a:ln>
                      <a:noFill/>
                    </a:ln>
                  </pic:spPr>
                </pic:pic>
              </a:graphicData>
            </a:graphic>
          </wp:anchor>
        </w:drawing>
      </w:r>
      <w:r>
        <w:rPr>
          <w:rFonts w:ascii="华文细黑" w:hAnsi="华文细黑" w:eastAsia="华文细黑"/>
          <w:sz w:val="24"/>
          <w:szCs w:val="24"/>
        </w:rPr>
        <w:drawing>
          <wp:anchor distT="0" distB="0" distL="114300" distR="114300" simplePos="0" relativeHeight="251663360" behindDoc="0" locked="0" layoutInCell="1" allowOverlap="1">
            <wp:simplePos x="0" y="0"/>
            <wp:positionH relativeFrom="column">
              <wp:posOffset>1905</wp:posOffset>
            </wp:positionH>
            <wp:positionV relativeFrom="paragraph">
              <wp:posOffset>2540</wp:posOffset>
            </wp:positionV>
            <wp:extent cx="2931795" cy="2661285"/>
            <wp:effectExtent l="0" t="0" r="1905" b="6350"/>
            <wp:wrapNone/>
            <wp:docPr id="15216385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38591"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t="8333" b="23615"/>
                    <a:stretch>
                      <a:fillRect/>
                    </a:stretch>
                  </pic:blipFill>
                  <pic:spPr>
                    <a:xfrm>
                      <a:off x="0" y="0"/>
                      <a:ext cx="2931888" cy="2661090"/>
                    </a:xfrm>
                    <a:prstGeom prst="rect">
                      <a:avLst/>
                    </a:prstGeom>
                    <a:noFill/>
                    <a:ln>
                      <a:noFill/>
                    </a:ln>
                  </pic:spPr>
                </pic:pic>
              </a:graphicData>
            </a:graphic>
          </wp:anchor>
        </w:drawing>
      </w:r>
    </w:p>
    <w:p w14:paraId="79F36B17">
      <w:pPr>
        <w:pStyle w:val="10"/>
        <w:spacing w:line="480" w:lineRule="exact"/>
        <w:ind w:firstLine="480"/>
        <w:jc w:val="center"/>
        <w:rPr>
          <w:rFonts w:ascii="华文细黑" w:hAnsi="华文细黑" w:eastAsia="华文细黑"/>
          <w:sz w:val="24"/>
          <w:szCs w:val="24"/>
        </w:rPr>
      </w:pPr>
    </w:p>
    <w:p w14:paraId="2AE3BB2F">
      <w:pPr>
        <w:pStyle w:val="10"/>
        <w:spacing w:line="480" w:lineRule="exact"/>
        <w:ind w:firstLine="480"/>
        <w:jc w:val="center"/>
        <w:rPr>
          <w:rFonts w:ascii="华文细黑" w:hAnsi="华文细黑" w:eastAsia="华文细黑"/>
          <w:sz w:val="24"/>
          <w:szCs w:val="24"/>
        </w:rPr>
      </w:pPr>
    </w:p>
    <w:p w14:paraId="3386DE93">
      <w:pPr>
        <w:pStyle w:val="10"/>
        <w:spacing w:line="480" w:lineRule="exact"/>
        <w:ind w:firstLine="480"/>
        <w:jc w:val="center"/>
        <w:rPr>
          <w:rFonts w:ascii="华文细黑" w:hAnsi="华文细黑" w:eastAsia="华文细黑"/>
          <w:sz w:val="24"/>
          <w:szCs w:val="24"/>
        </w:rPr>
      </w:pPr>
    </w:p>
    <w:p w14:paraId="4C84EC1C">
      <w:pPr>
        <w:pStyle w:val="10"/>
        <w:spacing w:line="480" w:lineRule="exact"/>
        <w:ind w:firstLine="480"/>
        <w:jc w:val="center"/>
        <w:rPr>
          <w:rFonts w:ascii="华文细黑" w:hAnsi="华文细黑" w:eastAsia="华文细黑"/>
          <w:sz w:val="24"/>
          <w:szCs w:val="24"/>
        </w:rPr>
      </w:pPr>
    </w:p>
    <w:p w14:paraId="2391C2F6">
      <w:pPr>
        <w:pStyle w:val="10"/>
        <w:spacing w:line="480" w:lineRule="exact"/>
        <w:ind w:firstLine="480"/>
        <w:jc w:val="center"/>
        <w:rPr>
          <w:rFonts w:ascii="华文细黑" w:hAnsi="华文细黑" w:eastAsia="华文细黑"/>
          <w:sz w:val="24"/>
          <w:szCs w:val="24"/>
        </w:rPr>
      </w:pPr>
    </w:p>
    <w:p w14:paraId="211CBC6B">
      <w:pPr>
        <w:pStyle w:val="10"/>
        <w:spacing w:line="480" w:lineRule="exact"/>
        <w:ind w:firstLine="480"/>
        <w:jc w:val="center"/>
        <w:rPr>
          <w:rFonts w:ascii="华文细黑" w:hAnsi="华文细黑" w:eastAsia="华文细黑"/>
          <w:sz w:val="24"/>
          <w:szCs w:val="24"/>
        </w:rPr>
      </w:pPr>
    </w:p>
    <w:p w14:paraId="3277D3E3">
      <w:pPr>
        <w:pStyle w:val="10"/>
        <w:spacing w:line="480" w:lineRule="exact"/>
        <w:ind w:firstLine="480"/>
        <w:jc w:val="center"/>
        <w:rPr>
          <w:rFonts w:ascii="华文细黑" w:hAnsi="华文细黑" w:eastAsia="华文细黑"/>
          <w:sz w:val="24"/>
          <w:szCs w:val="24"/>
        </w:rPr>
      </w:pPr>
    </w:p>
    <w:p w14:paraId="4307681B">
      <w:pPr>
        <w:pStyle w:val="10"/>
        <w:spacing w:line="480" w:lineRule="exact"/>
        <w:ind w:firstLine="480"/>
        <w:jc w:val="center"/>
        <w:rPr>
          <w:rFonts w:ascii="华文细黑" w:hAnsi="华文细黑" w:eastAsia="华文细黑"/>
          <w:sz w:val="24"/>
          <w:szCs w:val="24"/>
        </w:rPr>
      </w:pPr>
    </w:p>
    <w:p w14:paraId="23FCFA46">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员工是公司最宝贵的财富，公司的长远发展离不开全体员工的辛勤付出。浙江省浦江吴氏锁业有限公司始终坚持以人为本，努力不懈地为员工提供舒适的工作环境、良好的福利待遇、广阔的发展空间与平台，使员工对公司的发展充满信心与向往。相信在未来的日子里，大家能够再接再厉，砥砺奋进，共创美好未来！逢年过节，为了感谢广大员工对公司的辛勤付出，公司均会为全体员工发放精心选购的各种福利，以表公司对员工的节日问候及关怀。</w:t>
      </w:r>
    </w:p>
    <w:p w14:paraId="6B24A734">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3、积极对员工进行各类培训，帮助员工建立职业发展规划，畅通晋升渠道</w:t>
      </w:r>
    </w:p>
    <w:p w14:paraId="782F7664">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为使不同能力素质、职业兴趣的员工都可以找到适合自己的上升路径，公司明确了不同职系的晋升评估、管理办法，为员工提供“横向”、”纵向”并存的双轨制职业发展通道，充分给予员工不断上升的机会。员工可根据自身实际情况选择“纵向发展、横向发展、综合发展”职业生涯发展方式。</w:t>
      </w:r>
    </w:p>
    <w:p w14:paraId="4FDDC7F3">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为增强员工职业规划意识，公司行政部专门制定了职业生涯规划的制度。员工试用期结束后，公司对员工进行个人特长、技能评估和职业倾向调查，帮助员工自我认识。如调查员工职业兴趣、资质、技能、个人背景等，设立未来职业目标，制定发展计划等。同时，人事专员对员工职业生涯目标实施定期跟踪管理，督导员工往生涯设定的目标方向发展，最终实现职业生涯目标。</w:t>
      </w:r>
    </w:p>
    <w:p w14:paraId="773C7333">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在做好员工职业发展指引的基础上，公司还积极构建多种学习成长平台，如公司三级培训、员工换岗、后备人才培养计划等，并与知名培训机构合作，在质量、安全、个人能力等各方面进行培训，帮助员工实现职业发展，初步形成了职前培养与职后发展与培训提升良性循环的职业教育体系，促进了员工职业的快速稳健发展。</w:t>
      </w:r>
    </w:p>
    <w:p w14:paraId="651C58B2">
      <w:pPr>
        <w:pStyle w:val="10"/>
        <w:spacing w:line="480" w:lineRule="exact"/>
        <w:ind w:firstLine="480"/>
        <w:jc w:val="left"/>
        <w:rPr>
          <w:rFonts w:ascii="华文细黑" w:hAnsi="华文细黑" w:eastAsia="华文细黑"/>
          <w:sz w:val="24"/>
          <w:szCs w:val="24"/>
        </w:rPr>
      </w:pPr>
      <w:r>
        <w:rPr>
          <w:rFonts w:hint="eastAsia" w:ascii="华文细黑" w:hAnsi="华文细黑" w:eastAsia="华文细黑"/>
          <w:sz w:val="24"/>
          <w:szCs w:val="24"/>
        </w:rPr>
        <w:t>公司定期或不定期组织公司内外部培训，着力提升员工的整体素质及工作能力。</w:t>
      </w:r>
    </w:p>
    <w:p w14:paraId="0B839788">
      <w:pPr>
        <w:pStyle w:val="10"/>
        <w:spacing w:line="480" w:lineRule="exact"/>
        <w:ind w:firstLine="480"/>
        <w:jc w:val="center"/>
        <w:rPr>
          <w:rFonts w:hint="eastAsia" w:ascii="华文细黑" w:hAnsi="华文细黑" w:eastAsia="华文细黑"/>
          <w:sz w:val="24"/>
          <w:szCs w:val="24"/>
        </w:rPr>
      </w:pPr>
      <w:r>
        <w:rPr>
          <w:rFonts w:hint="eastAsia" w:ascii="华文细黑" w:hAnsi="华文细黑" w:eastAsia="华文细黑"/>
          <w:sz w:val="24"/>
          <w:szCs w:val="24"/>
        </w:rPr>
        <w:t>锁具修理工培训</w:t>
      </w:r>
    </w:p>
    <w:p w14:paraId="3022DB6B">
      <w:pPr>
        <w:pStyle w:val="10"/>
        <w:spacing w:line="240" w:lineRule="auto"/>
        <w:ind w:firstLine="480"/>
        <w:jc w:val="center"/>
        <w:rPr>
          <w:rFonts w:hint="eastAsia" w:ascii="华文细黑" w:hAnsi="华文细黑" w:eastAsia="华文细黑"/>
          <w:sz w:val="24"/>
          <w:szCs w:val="24"/>
          <w:lang w:eastAsia="zh-CN"/>
        </w:rPr>
      </w:pPr>
      <w:r>
        <w:rPr>
          <w:rFonts w:hint="eastAsia" w:ascii="华文细黑" w:hAnsi="华文细黑" w:eastAsia="华文细黑"/>
          <w:sz w:val="24"/>
          <w:szCs w:val="24"/>
          <w:lang w:eastAsia="zh-CN"/>
        </w:rPr>
        <w:drawing>
          <wp:inline distT="0" distB="0" distL="114300" distR="114300">
            <wp:extent cx="5735320" cy="4301490"/>
            <wp:effectExtent l="0" t="0" r="10160" b="11430"/>
            <wp:docPr id="1" name="图片 1" descr="b2dc27ec6ae3f6bc56998401e64a5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2dc27ec6ae3f6bc56998401e64a5e3"/>
                    <pic:cNvPicPr>
                      <a:picLocks noChangeAspect="1"/>
                    </pic:cNvPicPr>
                  </pic:nvPicPr>
                  <pic:blipFill>
                    <a:blip r:embed="rId13"/>
                    <a:stretch>
                      <a:fillRect/>
                    </a:stretch>
                  </pic:blipFill>
                  <pic:spPr>
                    <a:xfrm>
                      <a:off x="0" y="0"/>
                      <a:ext cx="5735320" cy="4301490"/>
                    </a:xfrm>
                    <a:prstGeom prst="rect">
                      <a:avLst/>
                    </a:prstGeom>
                  </pic:spPr>
                </pic:pic>
              </a:graphicData>
            </a:graphic>
          </wp:inline>
        </w:drawing>
      </w:r>
    </w:p>
    <w:p w14:paraId="2A80E009">
      <w:pPr>
        <w:pStyle w:val="10"/>
        <w:spacing w:line="240" w:lineRule="auto"/>
        <w:ind w:firstLine="480"/>
        <w:jc w:val="center"/>
        <w:rPr>
          <w:rFonts w:hint="eastAsia" w:ascii="华文细黑" w:hAnsi="华文细黑" w:eastAsia="华文细黑"/>
          <w:sz w:val="24"/>
          <w:szCs w:val="24"/>
          <w:lang w:eastAsia="zh-CN"/>
        </w:rPr>
      </w:pPr>
    </w:p>
    <w:p w14:paraId="327F7874">
      <w:pPr>
        <w:pStyle w:val="10"/>
        <w:spacing w:line="480" w:lineRule="exact"/>
        <w:ind w:left="0" w:leftChars="0" w:firstLine="240" w:firstLineChars="100"/>
        <w:rPr>
          <w:rFonts w:ascii="华文细黑" w:hAnsi="华文细黑" w:eastAsia="华文细黑"/>
          <w:sz w:val="24"/>
          <w:szCs w:val="24"/>
        </w:rPr>
      </w:pPr>
      <w:r>
        <w:rPr>
          <w:rFonts w:ascii="华文细黑" w:hAnsi="华文细黑" w:eastAsia="华文细黑"/>
          <w:sz w:val="24"/>
          <w:szCs w:val="24"/>
        </w:rPr>
        <w:t>4</w:t>
      </w:r>
      <w:r>
        <w:rPr>
          <w:rFonts w:hint="eastAsia" w:ascii="华文细黑" w:hAnsi="华文细黑" w:eastAsia="华文细黑"/>
          <w:sz w:val="24"/>
          <w:szCs w:val="24"/>
        </w:rPr>
        <w:t>、组织开展多种形式的群众性活动</w:t>
      </w:r>
    </w:p>
    <w:p w14:paraId="5F3CC0CC">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积极鼓励员工参与群众性质量管理，充分发挥每个员工的力量，来提高公司的质量效益。公司群众性质量管理活动坚持“广泛动员、全员参与”原则，以普通一线员工为质量创新的主力，将QC小组、合理化建议、5S活动作为公司全员质量活动的平台，通过各类技术比武、合理化建议排名等活动激发员工参与热情。公司提供各项活动所需的资源，并通过对活动成果评定、认可和激励员工参与质量管理活动的积极性。</w:t>
      </w:r>
    </w:p>
    <w:p w14:paraId="38BD4277">
      <w:pPr>
        <w:spacing w:line="480" w:lineRule="exact"/>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（四）客户、供应商等其他相关方权益保护</w:t>
      </w:r>
    </w:p>
    <w:p w14:paraId="4FABA40C">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秉承“和谐、敬业、创新、超越”的企业精神，以“敏锐把握应用趋势，快捷满足客户要求”的服务理念，与客户、供应商等相关方进行友好协商合作，严格履行合同，诚信相处，互惠多赢，共同发展，共享价值。公司对于顾客的利益保护主要通过以下方式实现：从生产到物流环节保证产品的安全性及有效性；建立完善的产品质量问题和投诉处理机制；提供全方位的产品使用咨询服务；以业务代表及经理定期拜访为特色的客户管理机制；完善顾客满意度调查机制。公司一直坚持诚信经营、利益共享、互惠互利的原则，不断完善采购流程与机制，对供应商管理遵循着风险管理方法和生命周期模式，在原辅材料采购上与供应商建立了较长期的协作关系，不断加强供方管理，帮助供应商提升质量管理水平。与主要物料供应商签订有质量协议，在协议中明确了双方所承担的质量责任。建立有物料供应商审计和批准的操作规程，明确了供应商的资质、选择的原则、质量评估方式、质量审计内容、评估标准、质量审计人员的组成及资质，确定了现场质量审计周期以及物料供应商批准的程序。</w:t>
      </w:r>
    </w:p>
    <w:p w14:paraId="06C151E1">
      <w:pPr>
        <w:spacing w:line="480" w:lineRule="exact"/>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（五）环境保护与可持续发展</w:t>
      </w:r>
    </w:p>
    <w:p w14:paraId="416EDF55">
      <w:pPr>
        <w:pStyle w:val="10"/>
        <w:spacing w:line="480" w:lineRule="exact"/>
        <w:ind w:firstLine="480"/>
        <w:rPr>
          <w:rFonts w:ascii="华文细黑" w:hAnsi="华文细黑" w:eastAsia="华文细黑"/>
          <w:sz w:val="24"/>
          <w:szCs w:val="24"/>
        </w:rPr>
      </w:pPr>
      <w:r>
        <w:rPr>
          <w:rFonts w:ascii="华文细黑" w:hAnsi="华文细黑" w:eastAsia="华文细黑"/>
          <w:sz w:val="24"/>
          <w:szCs w:val="24"/>
        </w:rPr>
        <w:t>1</w:t>
      </w:r>
      <w:r>
        <w:rPr>
          <w:rFonts w:hint="eastAsia" w:ascii="华文细黑" w:hAnsi="华文细黑" w:eastAsia="华文细黑"/>
          <w:sz w:val="24"/>
          <w:szCs w:val="24"/>
        </w:rPr>
        <w:t>、节能减排</w:t>
      </w:r>
    </w:p>
    <w:p w14:paraId="557A9B5E">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重视节能降耗与环保工作：积极开展节能降耗月活动、组织节能降耗工作小组、建立清洁生产工作小组，组建安全管理部门等。在制造过程中融入节能环保，在生产过程中不断改进生产流程，优化生产工艺，研究新型环保节能工艺技术，降低物料与能源消耗，减少废弃物，致力于建设无害于环境的绿色工厂。</w:t>
      </w:r>
    </w:p>
    <w:p w14:paraId="4C223958">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2、环境保护</w:t>
      </w:r>
    </w:p>
    <w:p w14:paraId="5BA736AB">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公司已经建立并运行了ISO14001环境安全管理体系，对公司环境管理体系的运行情况实施定期和不定期的检查。公司采用先进的工艺、技术和装备，全面实施清洁生产，降低单耗，提高原料利用率，从源头减少污染物产生。落实了各项污染防治措施，重点做好了以下工作:</w:t>
      </w:r>
    </w:p>
    <w:p w14:paraId="38E92FF0">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(1)废水防治方面</w:t>
      </w:r>
    </w:p>
    <w:p w14:paraId="64E0E0A7">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公司外排废水主要员工生活用水。</w:t>
      </w:r>
    </w:p>
    <w:p w14:paraId="7499244A">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生活污水经化粪池处理达《污水综合排放标准》（GB 8978-1996）中三级标准后，纳入市政污水管网，进入浦江富春紫光水务有限公司（一厂）处理达到《城镇污水处理厂污染物排放标准》（GB18918-2002）中一级 A 标准后外排（其中CODCr、氨氮、总磷达到《城镇污水处理厂污染物排放标准》（GB18918-2002）现有城镇污水处理厂主要水污染物排放限值）。水帘废水：公司水帘废水循环使用，定期补充，循环到一定程度全部更换，更换后委托有资质单位妥善处置。日常做好设施维护保养，避免外溢。喷淋废水：项目喷淋塔废水循环使用，定期补充，循环到一定程度全部更换，更换后委托有资质单位妥善处置。日常做好设施维护保养，避免外溢。经历年检测结果显示达标。</w:t>
      </w:r>
    </w:p>
    <w:p w14:paraId="1107694D">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(2)废气防治方面</w:t>
      </w:r>
    </w:p>
    <w:p w14:paraId="4C0AB582">
      <w:pPr>
        <w:spacing w:line="480" w:lineRule="exact"/>
        <w:ind w:firstLine="480" w:firstLineChars="200"/>
        <w:jc w:val="left"/>
        <w:rPr>
          <w:rFonts w:hint="eastAsia" w:ascii="华文细黑" w:hAnsi="华文细黑" w:eastAsia="华文细黑"/>
          <w:sz w:val="24"/>
          <w:szCs w:val="24"/>
        </w:rPr>
      </w:pPr>
      <w:r>
        <w:rPr>
          <w:rFonts w:hint="eastAsia" w:ascii="华文细黑" w:hAnsi="华文细黑" w:eastAsia="华文细黑"/>
          <w:sz w:val="24"/>
          <w:szCs w:val="24"/>
        </w:rPr>
        <w:t>目前公司废气主要为打孔、打眼、抛光粉尘。公司在打孔等工序设置专门的吸尘装置收集金属粉尘。日常加强环保设施的运行及维护管理。经历年检测结果显示达标。</w:t>
      </w:r>
    </w:p>
    <w:p w14:paraId="1652A006">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(3)噪声防治方面</w:t>
      </w:r>
    </w:p>
    <w:p w14:paraId="7AD1B575">
      <w:pPr>
        <w:spacing w:line="480" w:lineRule="exact"/>
        <w:ind w:firstLine="480" w:firstLineChars="200"/>
        <w:jc w:val="left"/>
        <w:rPr>
          <w:rFonts w:ascii="华文细黑" w:hAnsi="华文细黑" w:eastAsia="华文细黑"/>
          <w:color w:val="FF0000"/>
          <w:sz w:val="24"/>
          <w:szCs w:val="24"/>
        </w:rPr>
      </w:pPr>
      <w:r>
        <w:rPr>
          <w:rFonts w:hint="eastAsia" w:ascii="华文细黑" w:hAnsi="华文细黑" w:eastAsia="华文细黑"/>
          <w:sz w:val="24"/>
          <w:szCs w:val="24"/>
        </w:rPr>
        <w:t>公司厂界噪声主要为空压机、冲床、切割机、压铸机、抛光机等设备噪声，根据类比，设备噪声源强70~90dB。为确保厂界噪声达标，公司采取以下措施：选购低噪声设备，且设备应经常维护。加强管理，减少碰撞产生的噪声。等运行产生的噪声。噪音及设备必须每日执行保养维护管理，依噪音产生源应遵守《工业企业厂界环境噪声排放标准》（GB12348-2008）中3类标准。经历年检测结果显示达标。</w:t>
      </w:r>
    </w:p>
    <w:p w14:paraId="5A2B3AF2">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w:t>
      </w:r>
      <w:r>
        <w:rPr>
          <w:rFonts w:ascii="华文细黑" w:hAnsi="华文细黑" w:eastAsia="华文细黑"/>
          <w:sz w:val="24"/>
          <w:szCs w:val="24"/>
        </w:rPr>
        <w:t>4</w:t>
      </w:r>
      <w:r>
        <w:rPr>
          <w:rFonts w:hint="eastAsia" w:ascii="华文细黑" w:hAnsi="华文细黑" w:eastAsia="华文细黑"/>
          <w:sz w:val="24"/>
          <w:szCs w:val="24"/>
        </w:rPr>
        <w:t>)固废防治方面</w:t>
      </w:r>
    </w:p>
    <w:p w14:paraId="421D5045">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按照“资源化、减量化、无害化”的固废处置原则，按规定妥善处置固体废物，提高综合利用率，防止产生二次污染。公司产生的一般固体废物主要为金属边角料、铜屑、打孔粉尘、抛光粉尘、废包装材料、生活垃圾。危险废物主要有废机油。一般固废收集后外售综合利用。危险固废收集后需委托有资质的危废单位处置。生活垃圾收集后委托环卫部门清运处理。</w:t>
      </w:r>
    </w:p>
    <w:p w14:paraId="1E46332F">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3、节能降耗方面</w:t>
      </w:r>
    </w:p>
    <w:p w14:paraId="06264FBE">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公司秉承绿色生态“绿色制造”理念，采用节能设施设备，极大地节约了电力能源。</w:t>
      </w:r>
    </w:p>
    <w:p w14:paraId="06CDF24F">
      <w:pPr>
        <w:spacing w:line="480" w:lineRule="exact"/>
        <w:ind w:firstLine="480" w:firstLineChars="200"/>
        <w:jc w:val="left"/>
        <w:rPr>
          <w:rFonts w:ascii="华文细黑" w:hAnsi="华文细黑" w:eastAsia="华文细黑"/>
          <w:sz w:val="24"/>
          <w:szCs w:val="24"/>
        </w:rPr>
      </w:pPr>
      <w:r>
        <w:rPr>
          <w:rFonts w:hint="eastAsia" w:ascii="华文细黑" w:hAnsi="华文细黑" w:eastAsia="华文细黑"/>
          <w:sz w:val="24"/>
          <w:szCs w:val="24"/>
        </w:rPr>
        <w:t>健全了环保管理制度。加强了日常管理和各类设备的维护、检查，制定事故处理应急方案，落实应急处置各项措施，确保“三废”全面稳定达标排放，固废得到安全处置。</w:t>
      </w:r>
    </w:p>
    <w:p w14:paraId="25D582B7">
      <w:pPr>
        <w:pStyle w:val="10"/>
        <w:spacing w:line="480" w:lineRule="exact"/>
        <w:ind w:firstLine="480"/>
        <w:rPr>
          <w:rFonts w:ascii="华文细黑" w:hAnsi="华文细黑" w:eastAsia="华文细黑"/>
          <w:sz w:val="24"/>
          <w:szCs w:val="24"/>
        </w:rPr>
      </w:pPr>
      <w:r>
        <w:rPr>
          <w:rFonts w:ascii="华文细黑" w:hAnsi="华文细黑" w:eastAsia="华文细黑"/>
          <w:sz w:val="24"/>
          <w:szCs w:val="24"/>
        </w:rPr>
        <w:t>4</w:t>
      </w:r>
      <w:r>
        <w:rPr>
          <w:rFonts w:hint="eastAsia" w:ascii="华文细黑" w:hAnsi="华文细黑" w:eastAsia="华文细黑"/>
          <w:sz w:val="24"/>
          <w:szCs w:val="24"/>
        </w:rPr>
        <w:t>、绿色环保</w:t>
      </w:r>
    </w:p>
    <w:p w14:paraId="0B045AEF">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积极响应国家建设“资源节约型、环境友好型”企业的号召，高度重视环保责任，始终坚持全面落实科学发展观和环境保护，遵守国家和地方有关环境保护的法律法规和排放指标，认真落实各项环保管理制度，积极实施可持续发展战略，不断推进节能减排与环境保护工作，追求经济与环境的协调发展。</w:t>
      </w:r>
    </w:p>
    <w:p w14:paraId="41213BFF">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公司重视节能清洁生产教育，坚持环境职业健康安全方针，持续为清洁生产做出努力。</w:t>
      </w:r>
    </w:p>
    <w:p w14:paraId="33076FD1">
      <w:pPr>
        <w:spacing w:line="480" w:lineRule="exact"/>
        <w:ind w:firstLine="480" w:firstLineChars="200"/>
        <w:outlineLvl w:val="2"/>
        <w:rPr>
          <w:rFonts w:ascii="华文细黑" w:hAnsi="华文细黑" w:eastAsia="华文细黑" w:cs="宋体"/>
          <w:kern w:val="0"/>
          <w:sz w:val="24"/>
          <w:szCs w:val="24"/>
          <w:lang w:val="zh-CN"/>
        </w:rPr>
      </w:pPr>
      <w:r>
        <w:rPr>
          <w:rFonts w:hint="eastAsia" w:ascii="华文细黑" w:hAnsi="华文细黑" w:eastAsia="华文细黑" w:cs="宋体"/>
          <w:kern w:val="0"/>
          <w:sz w:val="24"/>
          <w:szCs w:val="24"/>
          <w:lang w:val="zh-CN"/>
        </w:rPr>
        <w:t>（六）公共关系和社会公益事业</w:t>
      </w:r>
    </w:p>
    <w:p w14:paraId="3F597806">
      <w:pPr>
        <w:pStyle w:val="10"/>
        <w:spacing w:line="480" w:lineRule="exact"/>
        <w:ind w:firstLine="480"/>
        <w:rPr>
          <w:rFonts w:ascii="华文细黑" w:hAnsi="华文细黑" w:eastAsia="华文细黑"/>
          <w:sz w:val="24"/>
          <w:szCs w:val="24"/>
        </w:rPr>
      </w:pPr>
      <w:r>
        <w:rPr>
          <w:rFonts w:ascii="华文细黑" w:hAnsi="华文细黑" w:eastAsia="华文细黑" w:cs="Arial"/>
          <w:color w:val="000000"/>
          <w:sz w:val="24"/>
          <w:szCs w:val="24"/>
        </w:rPr>
        <w:t>公共关系是企业与外部沟通的桥梁，公益事业是企业回报社会的重要方式。公司在做好企业发展的同时，注重维护公共关系，积极参加社会公益事业活动，促进企业与社会的共同进步。和谐</w:t>
      </w:r>
      <w:r>
        <w:rPr>
          <w:rFonts w:hint="eastAsia" w:ascii="华文细黑" w:hAnsi="华文细黑" w:eastAsia="华文细黑" w:cs="Arial"/>
          <w:color w:val="000000"/>
          <w:sz w:val="24"/>
          <w:szCs w:val="24"/>
        </w:rPr>
        <w:t>的</w:t>
      </w:r>
      <w:r>
        <w:rPr>
          <w:rFonts w:ascii="华文细黑" w:hAnsi="华文细黑" w:eastAsia="华文细黑" w:cs="Arial"/>
          <w:color w:val="000000"/>
          <w:sz w:val="24"/>
          <w:szCs w:val="24"/>
        </w:rPr>
        <w:t>公共关系</w:t>
      </w:r>
      <w:r>
        <w:rPr>
          <w:rFonts w:hint="eastAsia" w:ascii="华文细黑" w:hAnsi="华文细黑" w:eastAsia="华文细黑" w:cs="Arial"/>
          <w:color w:val="000000"/>
          <w:sz w:val="24"/>
          <w:szCs w:val="24"/>
        </w:rPr>
        <w:t>和</w:t>
      </w:r>
      <w:r>
        <w:rPr>
          <w:rFonts w:ascii="华文细黑" w:hAnsi="华文细黑" w:eastAsia="华文细黑" w:cs="Arial"/>
          <w:color w:val="000000"/>
          <w:sz w:val="24"/>
          <w:szCs w:val="24"/>
        </w:rPr>
        <w:t>良好的公共关系有助于企业形象的塑造。公司自觉、积极配合政府部门的监督与检查；主动关注社会舆论，接受媒体采访，向社会各界介绍公司相关情况，并虚心接受各方的意见和建议，充分尊重所有与公司相关的群体和个人，构筑和谐的公共关系。</w:t>
      </w:r>
    </w:p>
    <w:p w14:paraId="665E4283">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公司始终不忘回报社会，承担社会责任，主要体现在以下四个重点：慈善捐助、教育文化以及重大灾害事件救助，通过制定年度公益活动计划，从预算、人员等方面保证有计划地开展公益支持活动。</w:t>
      </w:r>
    </w:p>
    <w:p w14:paraId="492A8E9B">
      <w:pPr>
        <w:pStyle w:val="10"/>
        <w:spacing w:line="480" w:lineRule="exact"/>
        <w:ind w:firstLine="480"/>
        <w:rPr>
          <w:rFonts w:ascii="华文细黑" w:hAnsi="华文细黑" w:eastAsia="华文细黑"/>
          <w:sz w:val="24"/>
          <w:szCs w:val="24"/>
        </w:rPr>
      </w:pPr>
      <w:r>
        <w:rPr>
          <w:rFonts w:hint="eastAsia" w:ascii="华文细黑" w:hAnsi="华文细黑" w:eastAsia="华文细黑"/>
          <w:sz w:val="24"/>
          <w:szCs w:val="24"/>
        </w:rPr>
        <w:t>一直将社会公益活动视为企业活动的一个重要组成部分。高层领导和相关部门对公益支持进行系统策划，根据企业不同发展阶段和战略重点确定投入公益支持的原则和优先次序，做到既真正有利于社会，又利于企业发展。结合企业的使命、愿景和价值观以及企业发展战略确定了公益支持。</w:t>
      </w:r>
    </w:p>
    <w:p w14:paraId="6F79947D">
      <w:pPr>
        <w:pStyle w:val="10"/>
        <w:spacing w:line="480" w:lineRule="exact"/>
        <w:ind w:left="0" w:leftChars="0" w:firstLine="480" w:firstLineChars="200"/>
        <w:jc w:val="left"/>
        <w:rPr>
          <w:rFonts w:ascii="华文细黑" w:hAnsi="华文细黑" w:eastAsia="华文细黑"/>
          <w:sz w:val="24"/>
          <w:szCs w:val="24"/>
        </w:rPr>
      </w:pPr>
      <w:r>
        <w:rPr>
          <w:rFonts w:hint="eastAsia" w:ascii="华文细黑" w:hAnsi="华文细黑" w:eastAsia="华文细黑"/>
          <w:sz w:val="24"/>
          <w:szCs w:val="24"/>
        </w:rPr>
        <w:t>公司在2</w:t>
      </w:r>
      <w:r>
        <w:rPr>
          <w:rFonts w:ascii="华文细黑" w:hAnsi="华文细黑" w:eastAsia="华文细黑"/>
          <w:sz w:val="24"/>
          <w:szCs w:val="24"/>
        </w:rPr>
        <w:t>02</w:t>
      </w:r>
      <w:r>
        <w:rPr>
          <w:rFonts w:hint="eastAsia" w:ascii="华文细黑" w:hAnsi="华文细黑" w:eastAsia="华文细黑"/>
          <w:sz w:val="24"/>
          <w:szCs w:val="24"/>
          <w:lang w:val="en-US" w:eastAsia="zh-CN"/>
        </w:rPr>
        <w:t>3</w:t>
      </w:r>
      <w:r>
        <w:rPr>
          <w:rFonts w:hint="eastAsia" w:ascii="华文细黑" w:hAnsi="华文细黑" w:eastAsia="华文细黑"/>
          <w:sz w:val="24"/>
          <w:szCs w:val="24"/>
        </w:rPr>
        <w:t>年</w:t>
      </w:r>
      <w:r>
        <w:rPr>
          <w:rFonts w:hint="eastAsia" w:ascii="华文细黑" w:hAnsi="华文细黑" w:eastAsia="华文细黑"/>
          <w:sz w:val="24"/>
          <w:szCs w:val="24"/>
          <w:lang w:val="en-US" w:eastAsia="zh-CN"/>
        </w:rPr>
        <w:t>12</w:t>
      </w:r>
      <w:r>
        <w:rPr>
          <w:rFonts w:hint="eastAsia" w:ascii="华文细黑" w:hAnsi="华文细黑" w:eastAsia="华文细黑"/>
          <w:sz w:val="24"/>
          <w:szCs w:val="24"/>
        </w:rPr>
        <w:t>月又向浦江县</w:t>
      </w:r>
      <w:r>
        <w:rPr>
          <w:rFonts w:hint="eastAsia" w:ascii="华文细黑" w:hAnsi="华文细黑" w:eastAsia="华文细黑"/>
          <w:sz w:val="24"/>
          <w:szCs w:val="24"/>
          <w:lang w:eastAsia="zh-CN"/>
        </w:rPr>
        <w:t>黄宅乡贤基金</w:t>
      </w:r>
      <w:r>
        <w:rPr>
          <w:rFonts w:hint="eastAsia" w:ascii="华文细黑" w:hAnsi="华文细黑" w:eastAsia="华文细黑"/>
          <w:sz w:val="24"/>
          <w:szCs w:val="24"/>
        </w:rPr>
        <w:t>捐赠人民币</w:t>
      </w:r>
      <w:r>
        <w:rPr>
          <w:rFonts w:hint="eastAsia" w:ascii="华文细黑" w:hAnsi="华文细黑" w:eastAsia="华文细黑"/>
          <w:sz w:val="24"/>
          <w:szCs w:val="24"/>
          <w:lang w:val="en-US" w:eastAsia="zh-CN"/>
        </w:rPr>
        <w:t>5</w:t>
      </w:r>
      <w:r>
        <w:rPr>
          <w:rFonts w:ascii="华文细黑" w:hAnsi="华文细黑" w:eastAsia="华文细黑"/>
          <w:sz w:val="24"/>
          <w:szCs w:val="24"/>
        </w:rPr>
        <w:t>0000</w:t>
      </w:r>
      <w:r>
        <w:rPr>
          <w:rFonts w:hint="eastAsia" w:ascii="华文细黑" w:hAnsi="华文细黑" w:eastAsia="华文细黑"/>
          <w:sz w:val="24"/>
          <w:szCs w:val="24"/>
        </w:rPr>
        <w:t>元整，定向用于帮扶</w:t>
      </w:r>
      <w:r>
        <w:rPr>
          <w:rFonts w:hint="eastAsia" w:ascii="华文细黑" w:hAnsi="华文细黑" w:eastAsia="华文细黑"/>
          <w:sz w:val="24"/>
          <w:szCs w:val="24"/>
          <w:lang w:eastAsia="zh-CN"/>
        </w:rPr>
        <w:t>民营</w:t>
      </w:r>
      <w:r>
        <w:rPr>
          <w:rFonts w:hint="eastAsia" w:ascii="华文细黑" w:hAnsi="华文细黑" w:eastAsia="华文细黑"/>
          <w:sz w:val="24"/>
          <w:szCs w:val="24"/>
        </w:rPr>
        <w:t>企</w:t>
      </w:r>
      <w:r>
        <w:rPr>
          <w:rFonts w:hint="eastAsia" w:ascii="华文细黑" w:hAnsi="华文细黑" w:eastAsia="华文细黑"/>
          <w:sz w:val="24"/>
          <w:szCs w:val="24"/>
          <w:lang w:eastAsia="zh-CN"/>
        </w:rPr>
        <w:t>业</w:t>
      </w:r>
      <w:r>
        <w:rPr>
          <w:rFonts w:hint="eastAsia" w:ascii="华文细黑" w:hAnsi="华文细黑" w:eastAsia="华文细黑"/>
          <w:sz w:val="24"/>
          <w:szCs w:val="24"/>
        </w:rPr>
        <w:t>，为推动</w:t>
      </w:r>
      <w:r>
        <w:rPr>
          <w:rFonts w:hint="eastAsia" w:ascii="华文细黑" w:hAnsi="华文细黑" w:eastAsia="华文细黑"/>
          <w:sz w:val="24"/>
          <w:szCs w:val="24"/>
          <w:lang w:eastAsia="zh-CN"/>
        </w:rPr>
        <w:t>黄宅经济</w:t>
      </w:r>
      <w:r>
        <w:rPr>
          <w:rFonts w:hint="eastAsia" w:ascii="华文细黑" w:hAnsi="华文细黑" w:eastAsia="华文细黑"/>
          <w:sz w:val="24"/>
          <w:szCs w:val="24"/>
        </w:rPr>
        <w:t>发展献出微薄之力。</w:t>
      </w:r>
    </w:p>
    <w:p w14:paraId="230979D0">
      <w:pPr>
        <w:pStyle w:val="10"/>
        <w:spacing w:line="240" w:lineRule="auto"/>
        <w:jc w:val="center"/>
        <w:rPr>
          <w:rFonts w:hint="eastAsia" w:ascii="华文细黑" w:hAnsi="华文细黑" w:eastAsia="华文细黑"/>
          <w:sz w:val="24"/>
          <w:szCs w:val="24"/>
        </w:rPr>
      </w:pPr>
      <w:r>
        <w:rPr>
          <w:rFonts w:hint="eastAsia" w:ascii="华文细黑" w:hAnsi="华文细黑" w:eastAsia="华文细黑"/>
          <w:sz w:val="24"/>
          <w:szCs w:val="24"/>
        </w:rPr>
        <w:t>捐款凭证</w:t>
      </w:r>
    </w:p>
    <w:p w14:paraId="53ADE580">
      <w:pPr>
        <w:pStyle w:val="10"/>
        <w:spacing w:line="240" w:lineRule="auto"/>
        <w:jc w:val="center"/>
        <w:rPr>
          <w:rFonts w:hint="eastAsia" w:ascii="华文细黑" w:hAnsi="华文细黑" w:eastAsia="华文细黑"/>
          <w:sz w:val="24"/>
          <w:szCs w:val="24"/>
          <w:lang w:eastAsia="zh-CN"/>
        </w:rPr>
      </w:pPr>
      <w:r>
        <w:rPr>
          <w:rFonts w:hint="eastAsia" w:ascii="华文细黑" w:hAnsi="华文细黑" w:eastAsia="华文细黑"/>
          <w:sz w:val="24"/>
          <w:szCs w:val="24"/>
          <w:lang w:eastAsia="zh-CN"/>
        </w:rPr>
        <w:drawing>
          <wp:inline distT="0" distB="0" distL="114300" distR="114300">
            <wp:extent cx="4782820" cy="2216150"/>
            <wp:effectExtent l="0" t="0" r="2540" b="8890"/>
            <wp:docPr id="7" name="图片 7" descr="b829be7f0366c9e8f514cb1ce7c9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829be7f0366c9e8f514cb1ce7c9de6"/>
                    <pic:cNvPicPr>
                      <a:picLocks noChangeAspect="1"/>
                    </pic:cNvPicPr>
                  </pic:nvPicPr>
                  <pic:blipFill>
                    <a:blip r:embed="rId14"/>
                    <a:stretch>
                      <a:fillRect/>
                    </a:stretch>
                  </pic:blipFill>
                  <pic:spPr>
                    <a:xfrm>
                      <a:off x="0" y="0"/>
                      <a:ext cx="4782820" cy="2216150"/>
                    </a:xfrm>
                    <a:prstGeom prst="rect">
                      <a:avLst/>
                    </a:prstGeom>
                  </pic:spPr>
                </pic:pic>
              </a:graphicData>
            </a:graphic>
          </wp:inline>
        </w:drawing>
      </w:r>
    </w:p>
    <w:p w14:paraId="778C5004">
      <w:pPr>
        <w:pStyle w:val="10"/>
        <w:spacing w:line="480" w:lineRule="exact"/>
        <w:ind w:left="0" w:leftChars="0" w:firstLine="480" w:firstLineChars="200"/>
        <w:jc w:val="left"/>
        <w:rPr>
          <w:rFonts w:hint="eastAsia" w:ascii="华文细黑" w:hAnsi="华文细黑" w:eastAsia="华文细黑"/>
          <w:sz w:val="24"/>
          <w:szCs w:val="24"/>
          <w:lang w:val="en-US" w:eastAsia="zh-CN"/>
        </w:rPr>
      </w:pPr>
      <w:r>
        <w:rPr>
          <w:rFonts w:hint="eastAsia" w:ascii="华文细黑" w:hAnsi="华文细黑" w:eastAsia="华文细黑"/>
          <w:sz w:val="24"/>
          <w:szCs w:val="24"/>
          <w:lang w:val="en-US" w:eastAsia="zh-CN"/>
        </w:rPr>
        <w:t>2023年加入浦江县关爱退役军人协会，并当选为副理事长单位。向关爱退役军人协会捐赠5万元。</w:t>
      </w:r>
    </w:p>
    <w:p w14:paraId="4A4D2598">
      <w:pPr>
        <w:pStyle w:val="10"/>
        <w:spacing w:line="240" w:lineRule="auto"/>
        <w:ind w:left="0" w:leftChars="0" w:firstLine="480" w:firstLineChars="200"/>
        <w:jc w:val="left"/>
        <w:rPr>
          <w:rFonts w:hint="default" w:ascii="华文细黑" w:hAnsi="华文细黑" w:eastAsia="华文细黑"/>
          <w:sz w:val="24"/>
          <w:szCs w:val="24"/>
          <w:lang w:val="en-US" w:eastAsia="zh-CN"/>
        </w:rPr>
      </w:pPr>
      <w:r>
        <w:rPr>
          <w:rFonts w:hint="default" w:ascii="华文细黑" w:hAnsi="华文细黑" w:eastAsia="华文细黑"/>
          <w:sz w:val="24"/>
          <w:szCs w:val="24"/>
          <w:lang w:val="en-US" w:eastAsia="zh-CN"/>
        </w:rPr>
        <w:drawing>
          <wp:inline distT="0" distB="0" distL="114300" distR="114300">
            <wp:extent cx="4949825" cy="2141220"/>
            <wp:effectExtent l="0" t="0" r="3175" b="7620"/>
            <wp:docPr id="8" name="图片 8" descr="a4990550b9a8d4c637f922f7ae8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4990550b9a8d4c637f922f7ae89905"/>
                    <pic:cNvPicPr>
                      <a:picLocks noChangeAspect="1"/>
                    </pic:cNvPicPr>
                  </pic:nvPicPr>
                  <pic:blipFill>
                    <a:blip r:embed="rId15"/>
                    <a:stretch>
                      <a:fillRect/>
                    </a:stretch>
                  </pic:blipFill>
                  <pic:spPr>
                    <a:xfrm>
                      <a:off x="0" y="0"/>
                      <a:ext cx="4949825" cy="2141220"/>
                    </a:xfrm>
                    <a:prstGeom prst="rect">
                      <a:avLst/>
                    </a:prstGeom>
                  </pic:spPr>
                </pic:pic>
              </a:graphicData>
            </a:graphic>
          </wp:inline>
        </w:drawing>
      </w:r>
    </w:p>
    <w:p w14:paraId="40422D20">
      <w:pPr>
        <w:pStyle w:val="10"/>
        <w:spacing w:line="480" w:lineRule="exact"/>
        <w:ind w:left="0" w:leftChars="0" w:firstLine="480" w:firstLineChars="200"/>
        <w:jc w:val="left"/>
        <w:rPr>
          <w:rFonts w:hint="eastAsia" w:ascii="华文细黑" w:hAnsi="华文细黑" w:eastAsia="华文细黑"/>
          <w:sz w:val="24"/>
          <w:szCs w:val="24"/>
        </w:rPr>
      </w:pPr>
    </w:p>
    <w:p w14:paraId="17E38962">
      <w:pPr>
        <w:pStyle w:val="10"/>
        <w:spacing w:line="480" w:lineRule="exact"/>
        <w:ind w:left="0" w:leftChars="0" w:firstLine="480" w:firstLineChars="200"/>
        <w:jc w:val="left"/>
        <w:rPr>
          <w:rFonts w:hint="eastAsia" w:ascii="华文细黑" w:hAnsi="华文细黑" w:eastAsia="华文细黑"/>
          <w:sz w:val="24"/>
          <w:szCs w:val="24"/>
        </w:rPr>
      </w:pPr>
    </w:p>
    <w:p w14:paraId="6D0206EA">
      <w:pPr>
        <w:pStyle w:val="10"/>
        <w:spacing w:line="480" w:lineRule="exact"/>
        <w:ind w:left="0" w:leftChars="0" w:firstLine="480" w:firstLineChars="200"/>
        <w:jc w:val="left"/>
        <w:rPr>
          <w:rFonts w:ascii="华文细黑" w:hAnsi="华文细黑" w:eastAsia="华文细黑"/>
          <w:sz w:val="24"/>
          <w:szCs w:val="24"/>
        </w:rPr>
      </w:pPr>
      <w:r>
        <w:rPr>
          <w:rFonts w:ascii="华文细黑" w:hAnsi="华文细黑" w:eastAsia="华文细黑"/>
          <w:sz w:val="24"/>
          <w:szCs w:val="24"/>
        </w:rPr>
        <w:drawing>
          <wp:anchor distT="0" distB="0" distL="114300" distR="114300" simplePos="0" relativeHeight="251665408" behindDoc="0" locked="0" layoutInCell="1" allowOverlap="1">
            <wp:simplePos x="0" y="0"/>
            <wp:positionH relativeFrom="column">
              <wp:posOffset>1536065</wp:posOffset>
            </wp:positionH>
            <wp:positionV relativeFrom="paragraph">
              <wp:posOffset>476250</wp:posOffset>
            </wp:positionV>
            <wp:extent cx="2802890" cy="3994785"/>
            <wp:effectExtent l="0" t="5397" r="0" b="0"/>
            <wp:wrapNone/>
            <wp:docPr id="19535809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80924" name="图片 9"/>
                    <pic:cNvPicPr>
                      <a:picLocks noChangeAspect="1" noChangeArrowheads="1"/>
                    </pic:cNvPicPr>
                  </pic:nvPicPr>
                  <pic:blipFill>
                    <a:blip r:embed="rId16" cstate="print">
                      <a:extLst>
                        <a:ext uri="{28A0092B-C50C-407E-A947-70E740481C1C}">
                          <a14:useLocalDpi xmlns:a14="http://schemas.microsoft.com/office/drawing/2010/main" val="0"/>
                        </a:ext>
                      </a:extLst>
                    </a:blip>
                    <a:srcRect l="1613" t="11981" r="3080" b="11588"/>
                    <a:stretch>
                      <a:fillRect/>
                    </a:stretch>
                  </pic:blipFill>
                  <pic:spPr>
                    <a:xfrm rot="5400000">
                      <a:off x="0" y="0"/>
                      <a:ext cx="2802629" cy="3994780"/>
                    </a:xfrm>
                    <a:prstGeom prst="rect">
                      <a:avLst/>
                    </a:prstGeom>
                    <a:noFill/>
                    <a:ln>
                      <a:noFill/>
                    </a:ln>
                  </pic:spPr>
                </pic:pic>
              </a:graphicData>
            </a:graphic>
          </wp:anchor>
        </w:drawing>
      </w:r>
      <w:r>
        <w:rPr>
          <w:rFonts w:hint="eastAsia" w:ascii="华文细黑" w:hAnsi="华文细黑" w:eastAsia="华文细黑"/>
          <w:sz w:val="24"/>
          <w:szCs w:val="24"/>
        </w:rPr>
        <w:t>公司因在公益事业方面的突出表现，被共青团浦江县委、浦江县志愿者协会百分百公益、浦江县百分百社会工作服务中心授予“爱心企业”荣誉称号。</w:t>
      </w:r>
    </w:p>
    <w:p w14:paraId="0E1EC54D">
      <w:pPr>
        <w:pStyle w:val="10"/>
        <w:spacing w:line="480" w:lineRule="exact"/>
        <w:ind w:firstLine="480"/>
        <w:jc w:val="center"/>
        <w:rPr>
          <w:rFonts w:hint="eastAsia" w:ascii="华文细黑" w:hAnsi="华文细黑" w:eastAsia="华文细黑"/>
          <w:sz w:val="24"/>
          <w:szCs w:val="24"/>
        </w:rPr>
      </w:pPr>
      <w:r>
        <w:rPr>
          <w:rFonts w:hint="eastAsia" w:ascii="华文细黑" w:hAnsi="华文细黑" w:eastAsia="华文细黑"/>
          <w:sz w:val="24"/>
          <w:szCs w:val="24"/>
        </w:rPr>
        <w:t>爱心企业</w:t>
      </w:r>
    </w:p>
    <w:p w14:paraId="61AAAC00">
      <w:pPr>
        <w:pStyle w:val="10"/>
        <w:spacing w:line="480" w:lineRule="exact"/>
        <w:ind w:firstLine="480"/>
        <w:jc w:val="center"/>
        <w:rPr>
          <w:rFonts w:hint="eastAsia" w:ascii="华文细黑" w:hAnsi="华文细黑" w:eastAsia="华文细黑"/>
          <w:sz w:val="24"/>
          <w:szCs w:val="24"/>
        </w:rPr>
      </w:pPr>
    </w:p>
    <w:p w14:paraId="53FCB5E6">
      <w:pPr>
        <w:pStyle w:val="10"/>
        <w:spacing w:line="480" w:lineRule="exact"/>
        <w:ind w:firstLine="480"/>
        <w:jc w:val="center"/>
        <w:rPr>
          <w:rFonts w:hint="eastAsia" w:ascii="华文细黑" w:hAnsi="华文细黑" w:eastAsia="华文细黑"/>
          <w:sz w:val="24"/>
          <w:szCs w:val="24"/>
        </w:rPr>
      </w:pPr>
    </w:p>
    <w:p w14:paraId="4EC67D4B">
      <w:pPr>
        <w:pStyle w:val="10"/>
        <w:spacing w:line="480" w:lineRule="exact"/>
        <w:ind w:firstLine="480"/>
        <w:jc w:val="center"/>
        <w:rPr>
          <w:rFonts w:hint="eastAsia" w:ascii="华文细黑" w:hAnsi="华文细黑" w:eastAsia="华文细黑"/>
          <w:sz w:val="24"/>
          <w:szCs w:val="24"/>
        </w:rPr>
      </w:pPr>
    </w:p>
    <w:p w14:paraId="406463B8">
      <w:pPr>
        <w:pStyle w:val="10"/>
        <w:spacing w:line="480" w:lineRule="exact"/>
        <w:ind w:firstLine="480"/>
        <w:jc w:val="center"/>
        <w:rPr>
          <w:rFonts w:hint="eastAsia" w:ascii="华文细黑" w:hAnsi="华文细黑" w:eastAsia="华文细黑"/>
          <w:sz w:val="24"/>
          <w:szCs w:val="24"/>
        </w:rPr>
      </w:pPr>
    </w:p>
    <w:p w14:paraId="3B154C69">
      <w:pPr>
        <w:pStyle w:val="10"/>
        <w:spacing w:line="480" w:lineRule="exact"/>
        <w:ind w:firstLine="480"/>
        <w:jc w:val="center"/>
        <w:rPr>
          <w:rFonts w:hint="eastAsia" w:ascii="华文细黑" w:hAnsi="华文细黑" w:eastAsia="华文细黑"/>
          <w:sz w:val="24"/>
          <w:szCs w:val="24"/>
        </w:rPr>
      </w:pPr>
    </w:p>
    <w:p w14:paraId="10C31FAC">
      <w:pPr>
        <w:pStyle w:val="10"/>
        <w:spacing w:line="480" w:lineRule="exact"/>
        <w:ind w:firstLine="480"/>
        <w:jc w:val="center"/>
        <w:rPr>
          <w:rFonts w:hint="eastAsia" w:ascii="华文细黑" w:hAnsi="华文细黑" w:eastAsia="华文细黑"/>
          <w:sz w:val="24"/>
          <w:szCs w:val="24"/>
        </w:rPr>
      </w:pPr>
    </w:p>
    <w:p w14:paraId="1E90F782">
      <w:pPr>
        <w:pStyle w:val="10"/>
        <w:spacing w:line="480" w:lineRule="exact"/>
        <w:ind w:firstLine="480"/>
        <w:jc w:val="center"/>
        <w:rPr>
          <w:rFonts w:hint="eastAsia" w:ascii="华文细黑" w:hAnsi="华文细黑" w:eastAsia="华文细黑"/>
          <w:sz w:val="24"/>
          <w:szCs w:val="24"/>
        </w:rPr>
      </w:pPr>
    </w:p>
    <w:p w14:paraId="3A99D09D">
      <w:pPr>
        <w:pStyle w:val="10"/>
        <w:spacing w:line="480" w:lineRule="exact"/>
        <w:ind w:firstLine="480"/>
        <w:jc w:val="center"/>
        <w:rPr>
          <w:rFonts w:hint="eastAsia" w:ascii="华文细黑" w:hAnsi="华文细黑" w:eastAsia="华文细黑"/>
          <w:sz w:val="24"/>
          <w:szCs w:val="24"/>
        </w:rPr>
      </w:pPr>
    </w:p>
    <w:p w14:paraId="57F69352">
      <w:pPr>
        <w:pStyle w:val="10"/>
        <w:spacing w:line="480" w:lineRule="exact"/>
        <w:ind w:firstLine="480"/>
        <w:jc w:val="center"/>
        <w:rPr>
          <w:rFonts w:hint="eastAsia" w:ascii="华文细黑" w:hAnsi="华文细黑" w:eastAsia="华文细黑"/>
          <w:sz w:val="24"/>
          <w:szCs w:val="24"/>
        </w:rPr>
      </w:pPr>
    </w:p>
    <w:p w14:paraId="5A6E416A">
      <w:pPr>
        <w:pStyle w:val="10"/>
        <w:spacing w:line="480" w:lineRule="exact"/>
        <w:ind w:firstLine="480"/>
        <w:jc w:val="center"/>
        <w:rPr>
          <w:rFonts w:hint="eastAsia" w:ascii="华文细黑" w:hAnsi="华文细黑" w:eastAsia="华文细黑"/>
          <w:sz w:val="24"/>
          <w:szCs w:val="24"/>
        </w:rPr>
      </w:pPr>
    </w:p>
    <w:p w14:paraId="3FA103AA">
      <w:pPr>
        <w:pStyle w:val="10"/>
        <w:spacing w:line="480" w:lineRule="exact"/>
        <w:ind w:firstLine="480"/>
        <w:jc w:val="center"/>
        <w:rPr>
          <w:rFonts w:ascii="华文细黑" w:hAnsi="华文细黑" w:eastAsia="华文细黑" w:cs="Arial"/>
          <w:color w:val="000000"/>
          <w:sz w:val="24"/>
          <w:szCs w:val="24"/>
        </w:rPr>
      </w:pPr>
      <w:r>
        <w:rPr>
          <w:rFonts w:hint="eastAsia" w:ascii="华文细黑" w:hAnsi="华文细黑" w:eastAsia="华文细黑" w:cs="Arial"/>
          <w:color w:val="000000"/>
          <w:sz w:val="24"/>
          <w:szCs w:val="24"/>
        </w:rPr>
        <w:t>未来国内国际形势变化莫测，</w:t>
      </w:r>
      <w:r>
        <w:rPr>
          <w:rFonts w:ascii="华文细黑" w:hAnsi="华文细黑" w:eastAsia="华文细黑" w:cs="Arial"/>
          <w:color w:val="000000"/>
          <w:sz w:val="24"/>
          <w:szCs w:val="24"/>
        </w:rPr>
        <w:t>公司将抓住机遇，应对挑战，强化品牌价值提升，持续改善品牌形象和溢价能力；强化产品质量提升，以质量提升拉动销量规模扩大；强化生产效率提升，最大限度的适应市场需求；强化经营质量提升，切实提高盈利能力；强化管理水平提升，创新管理模式，实现管理突破。公司将继续认真履行公司的社会责任：深入规范公司治理，稳健运营，为股东带来更多收益；充分激励员工，为员工提供发展空间，持续关爱员工，积极倾听员工心声，做实思想文化建设和企业形象提升两大核心工程，塑造员工精神；加强与利益相关方的沟通合作，维持平等、互利、诚信的战略合作伙伴关系；加大产品设计力度，不断丰富产品线，保证产品质量，优化客户服务，加强客户沟通，最大限度地提升客户满意度；继续坚持落实科学发展观，投身环境保护工作</w:t>
      </w:r>
      <w:r>
        <w:rPr>
          <w:rFonts w:hint="eastAsia" w:ascii="华文细黑" w:hAnsi="华文细黑" w:eastAsia="华文细黑" w:cs="Arial"/>
          <w:color w:val="000000"/>
          <w:sz w:val="24"/>
          <w:szCs w:val="24"/>
        </w:rPr>
        <w:t>，</w:t>
      </w:r>
      <w:r>
        <w:rPr>
          <w:rFonts w:ascii="华文细黑" w:hAnsi="华文细黑" w:eastAsia="华文细黑" w:cs="Arial"/>
          <w:color w:val="000000"/>
          <w:sz w:val="24"/>
          <w:szCs w:val="24"/>
        </w:rPr>
        <w:t>完善环保制度，利用环保设备技术减轻和避免污染，加大环保宣传力度</w:t>
      </w:r>
      <w:r>
        <w:rPr>
          <w:rFonts w:hint="eastAsia" w:ascii="华文细黑" w:hAnsi="华文细黑" w:eastAsia="华文细黑" w:cs="Arial"/>
          <w:color w:val="000000"/>
          <w:sz w:val="24"/>
          <w:szCs w:val="24"/>
        </w:rPr>
        <w:t>，</w:t>
      </w:r>
      <w:r>
        <w:rPr>
          <w:rFonts w:ascii="华文细黑" w:hAnsi="华文细黑" w:eastAsia="华文细黑" w:cs="Arial"/>
          <w:color w:val="000000"/>
          <w:sz w:val="24"/>
          <w:szCs w:val="24"/>
        </w:rPr>
        <w:t>展开环保节能活动，提高员工的环保节能意识，构建绿色环保企业；持续维护公共关系，热忱社会公益事业，塑造良好的企业形象，带动地方经济发展，追求企业与社会的和谐共生。</w:t>
      </w:r>
    </w:p>
    <w:sectPr>
      <w:pgSz w:w="11906" w:h="16838"/>
      <w:pgMar w:top="1440" w:right="1417" w:bottom="1440" w:left="1417" w:header="850"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SCACIN+»ªÎÄÐÐ¿¬">
    <w:altName w:val="Segoe Print"/>
    <w:panose1 w:val="00000000000000000000"/>
    <w:charset w:val="01"/>
    <w:family w:val="auto"/>
    <w:pitch w:val="default"/>
    <w:sig w:usb0="00000000" w:usb1="00000000" w:usb2="01010101" w:usb3="01010101" w:csb0="01010101" w:csb1="01010101"/>
  </w:font>
  <w:font w:name="Segoe Print">
    <w:panose1 w:val="02000600000000000000"/>
    <w:charset w:val="00"/>
    <w:family w:val="auto"/>
    <w:pitch w:val="default"/>
    <w:sig w:usb0="0000028F" w:usb1="00000000" w:usb2="00000000" w:usb3="00000000" w:csb0="2000009F" w:csb1="4701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42F">
    <w:pPr>
      <w:pStyle w:val="4"/>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599F10">
                          <w:pPr>
                            <w:pStyle w:val="4"/>
                            <w:rPr>
                              <w:rFonts w:eastAsia="宋体"/>
                            </w:rPr>
                          </w:pP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CIngssBAACcAwAADgAAAGRycy9lMm9Eb2MueG1srVPNjtMwEL4j8Q6W&#10;79RpB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s&#10;Vq9y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AiJ4LLAQAAnAMAAA4AAAAAAAAAAQAgAAAAHgEAAGRycy9lMm9E&#10;b2MueG1sUEsFBgAAAAAGAAYAWQEAAFsFAAAAAA==&#10;">
              <v:fill on="f" focussize="0,0"/>
              <v:stroke on="f"/>
              <v:imagedata o:title=""/>
              <o:lock v:ext="edit" aspectratio="f"/>
              <v:textbox inset="0mm,0mm,0mm,0mm" style="mso-fit-shape-to-text:t;">
                <w:txbxContent>
                  <w:p w14:paraId="5B599F10">
                    <w:pPr>
                      <w:pStyle w:val="4"/>
                      <w:rPr>
                        <w:rFonts w:eastAsia="宋体"/>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5D22F">
    <w:pPr>
      <w:pStyle w:val="4"/>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86C759">
                          <w:pPr>
                            <w:pStyle w:val="4"/>
                            <w:rPr>
                              <w:rFonts w:eastAsia="宋体"/>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0IjR8sBAACd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e4CS8pcdzixC/fv11+/Lr8/EqW&#10;1ep1blEfoMbMu4C5aXjrB0yf/YDOrHxQ0eYvaiIYxwafrw2WQyIiP1qv1usKQwJj8wXx2cPzECG9&#10;k96SbDQ04gRLY/npA6QxdU7J1Zy/1caUKRr3lwMxs4dl7iPHbKVhP0yC9r49o54eh99Qh7tOiXnv&#10;sLd5T2YjzsZ+No4h6kOH1JaFF4Q3x4QkCrdcYYSdCuPUirppw/Ja/HkvWQ9/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9CI0fLAQAAnQMAAA4AAAAAAAAAAQAgAAAAHgEAAGRycy9lMm9E&#10;b2MueG1sUEsFBgAAAAAGAAYAWQEAAFsFAAAAAA==&#10;">
              <v:fill on="f" focussize="0,0"/>
              <v:stroke on="f"/>
              <v:imagedata o:title=""/>
              <o:lock v:ext="edit" aspectratio="f"/>
              <v:textbox inset="0mm,0mm,0mm,0mm" style="mso-fit-shape-to-text:t;">
                <w:txbxContent>
                  <w:p w14:paraId="7E86C759">
                    <w:pPr>
                      <w:pStyle w:val="4"/>
                      <w:rPr>
                        <w:rFonts w:eastAsia="宋体"/>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mOGU1MjcxMjdkNTRmZjNhZjNmMzYxODQxMDg3YjkifQ=="/>
  </w:docVars>
  <w:rsids>
    <w:rsidRoot w:val="00A1490A"/>
    <w:rsid w:val="00006574"/>
    <w:rsid w:val="00023F96"/>
    <w:rsid w:val="00027BCF"/>
    <w:rsid w:val="00034EE5"/>
    <w:rsid w:val="000408E7"/>
    <w:rsid w:val="00041245"/>
    <w:rsid w:val="000513C6"/>
    <w:rsid w:val="000529EF"/>
    <w:rsid w:val="000538A8"/>
    <w:rsid w:val="00054A83"/>
    <w:rsid w:val="00063839"/>
    <w:rsid w:val="00063A53"/>
    <w:rsid w:val="0006430B"/>
    <w:rsid w:val="00066B63"/>
    <w:rsid w:val="0007147D"/>
    <w:rsid w:val="0008217D"/>
    <w:rsid w:val="000A2FC3"/>
    <w:rsid w:val="000A3A50"/>
    <w:rsid w:val="000A7CB1"/>
    <w:rsid w:val="000B5177"/>
    <w:rsid w:val="000B6946"/>
    <w:rsid w:val="000B789D"/>
    <w:rsid w:val="000C0D15"/>
    <w:rsid w:val="000C0F34"/>
    <w:rsid w:val="000C23C4"/>
    <w:rsid w:val="000C26F5"/>
    <w:rsid w:val="000C4300"/>
    <w:rsid w:val="000D4F16"/>
    <w:rsid w:val="000E1CDE"/>
    <w:rsid w:val="000F34C1"/>
    <w:rsid w:val="00111822"/>
    <w:rsid w:val="00111C7E"/>
    <w:rsid w:val="00112CBB"/>
    <w:rsid w:val="001224A7"/>
    <w:rsid w:val="00127BCF"/>
    <w:rsid w:val="0013044F"/>
    <w:rsid w:val="001314C1"/>
    <w:rsid w:val="00133E2B"/>
    <w:rsid w:val="0013608C"/>
    <w:rsid w:val="00137AE9"/>
    <w:rsid w:val="00142652"/>
    <w:rsid w:val="00160D05"/>
    <w:rsid w:val="00166760"/>
    <w:rsid w:val="001674E8"/>
    <w:rsid w:val="00171E97"/>
    <w:rsid w:val="00176F19"/>
    <w:rsid w:val="001772A3"/>
    <w:rsid w:val="00187CDD"/>
    <w:rsid w:val="0019092B"/>
    <w:rsid w:val="0019318D"/>
    <w:rsid w:val="00195506"/>
    <w:rsid w:val="001A1357"/>
    <w:rsid w:val="001A1DE1"/>
    <w:rsid w:val="001A5BED"/>
    <w:rsid w:val="001B222F"/>
    <w:rsid w:val="001B46DC"/>
    <w:rsid w:val="001B7E0B"/>
    <w:rsid w:val="001C34D2"/>
    <w:rsid w:val="001C54E8"/>
    <w:rsid w:val="001D0CE4"/>
    <w:rsid w:val="001D3D38"/>
    <w:rsid w:val="001E0D18"/>
    <w:rsid w:val="001F501B"/>
    <w:rsid w:val="00207A13"/>
    <w:rsid w:val="00210B97"/>
    <w:rsid w:val="00213E31"/>
    <w:rsid w:val="0021617C"/>
    <w:rsid w:val="00223227"/>
    <w:rsid w:val="0024250A"/>
    <w:rsid w:val="0024340C"/>
    <w:rsid w:val="00262393"/>
    <w:rsid w:val="00266BE2"/>
    <w:rsid w:val="00267510"/>
    <w:rsid w:val="002716CD"/>
    <w:rsid w:val="0027637A"/>
    <w:rsid w:val="00277388"/>
    <w:rsid w:val="00277EB4"/>
    <w:rsid w:val="00280F2A"/>
    <w:rsid w:val="00283DEB"/>
    <w:rsid w:val="00283E0B"/>
    <w:rsid w:val="002840B0"/>
    <w:rsid w:val="002861B1"/>
    <w:rsid w:val="00293303"/>
    <w:rsid w:val="0029539F"/>
    <w:rsid w:val="002B0E53"/>
    <w:rsid w:val="002B2B42"/>
    <w:rsid w:val="002B751F"/>
    <w:rsid w:val="002C1D1F"/>
    <w:rsid w:val="002C2FED"/>
    <w:rsid w:val="002E25DC"/>
    <w:rsid w:val="002E4C5A"/>
    <w:rsid w:val="002F0CC0"/>
    <w:rsid w:val="002F3CC1"/>
    <w:rsid w:val="002F5214"/>
    <w:rsid w:val="003005A6"/>
    <w:rsid w:val="00303109"/>
    <w:rsid w:val="003045DA"/>
    <w:rsid w:val="0031243B"/>
    <w:rsid w:val="0032313D"/>
    <w:rsid w:val="00323409"/>
    <w:rsid w:val="00324E4A"/>
    <w:rsid w:val="00324ED0"/>
    <w:rsid w:val="003272A9"/>
    <w:rsid w:val="003305AB"/>
    <w:rsid w:val="00337D19"/>
    <w:rsid w:val="00351A40"/>
    <w:rsid w:val="00362CA8"/>
    <w:rsid w:val="003631CA"/>
    <w:rsid w:val="00372E24"/>
    <w:rsid w:val="00373348"/>
    <w:rsid w:val="00381ADF"/>
    <w:rsid w:val="00381B4A"/>
    <w:rsid w:val="00384A7B"/>
    <w:rsid w:val="003873D0"/>
    <w:rsid w:val="0039248E"/>
    <w:rsid w:val="00393026"/>
    <w:rsid w:val="003A7F90"/>
    <w:rsid w:val="003B51A6"/>
    <w:rsid w:val="003B648D"/>
    <w:rsid w:val="003C0CCE"/>
    <w:rsid w:val="003C7EDB"/>
    <w:rsid w:val="003D09D1"/>
    <w:rsid w:val="003D1FFA"/>
    <w:rsid w:val="003D43C3"/>
    <w:rsid w:val="00402053"/>
    <w:rsid w:val="004050F3"/>
    <w:rsid w:val="00405825"/>
    <w:rsid w:val="00405BAD"/>
    <w:rsid w:val="004075A7"/>
    <w:rsid w:val="004075F0"/>
    <w:rsid w:val="00415E72"/>
    <w:rsid w:val="0041733B"/>
    <w:rsid w:val="00417993"/>
    <w:rsid w:val="00420073"/>
    <w:rsid w:val="004205AD"/>
    <w:rsid w:val="0042097A"/>
    <w:rsid w:val="00433CEE"/>
    <w:rsid w:val="004403DA"/>
    <w:rsid w:val="00442EB5"/>
    <w:rsid w:val="0044551B"/>
    <w:rsid w:val="00447801"/>
    <w:rsid w:val="00451299"/>
    <w:rsid w:val="00462E22"/>
    <w:rsid w:val="00467F2B"/>
    <w:rsid w:val="0047305D"/>
    <w:rsid w:val="004740B8"/>
    <w:rsid w:val="00482C19"/>
    <w:rsid w:val="00484099"/>
    <w:rsid w:val="004A2BA4"/>
    <w:rsid w:val="004A504F"/>
    <w:rsid w:val="004A6434"/>
    <w:rsid w:val="004B2F5E"/>
    <w:rsid w:val="004C1691"/>
    <w:rsid w:val="004C38E6"/>
    <w:rsid w:val="004C45F1"/>
    <w:rsid w:val="004D34CB"/>
    <w:rsid w:val="004E1D85"/>
    <w:rsid w:val="004E460F"/>
    <w:rsid w:val="004E5A06"/>
    <w:rsid w:val="004E5D63"/>
    <w:rsid w:val="00503BC2"/>
    <w:rsid w:val="00505C58"/>
    <w:rsid w:val="00511C30"/>
    <w:rsid w:val="00521B46"/>
    <w:rsid w:val="00524A80"/>
    <w:rsid w:val="00525F12"/>
    <w:rsid w:val="0053011B"/>
    <w:rsid w:val="00542627"/>
    <w:rsid w:val="0055064F"/>
    <w:rsid w:val="005506CA"/>
    <w:rsid w:val="0055360D"/>
    <w:rsid w:val="00556E2F"/>
    <w:rsid w:val="00557BF8"/>
    <w:rsid w:val="00564672"/>
    <w:rsid w:val="00566807"/>
    <w:rsid w:val="0056717F"/>
    <w:rsid w:val="00590048"/>
    <w:rsid w:val="0059255B"/>
    <w:rsid w:val="00593A62"/>
    <w:rsid w:val="005956A0"/>
    <w:rsid w:val="005969E9"/>
    <w:rsid w:val="005A1EF7"/>
    <w:rsid w:val="005A44D8"/>
    <w:rsid w:val="005A4684"/>
    <w:rsid w:val="005A7557"/>
    <w:rsid w:val="005B1A2B"/>
    <w:rsid w:val="005B3A11"/>
    <w:rsid w:val="005B605E"/>
    <w:rsid w:val="005B6E34"/>
    <w:rsid w:val="005B7186"/>
    <w:rsid w:val="005B748C"/>
    <w:rsid w:val="005C6D38"/>
    <w:rsid w:val="005D4DE5"/>
    <w:rsid w:val="005E4F48"/>
    <w:rsid w:val="00612EF9"/>
    <w:rsid w:val="0061678A"/>
    <w:rsid w:val="00633131"/>
    <w:rsid w:val="00634FA0"/>
    <w:rsid w:val="00646F7D"/>
    <w:rsid w:val="0065542E"/>
    <w:rsid w:val="00673165"/>
    <w:rsid w:val="00683F4B"/>
    <w:rsid w:val="00687ACA"/>
    <w:rsid w:val="006A19B9"/>
    <w:rsid w:val="006B189D"/>
    <w:rsid w:val="006C209A"/>
    <w:rsid w:val="006C5E52"/>
    <w:rsid w:val="006D225B"/>
    <w:rsid w:val="006E1FAC"/>
    <w:rsid w:val="006E6AA7"/>
    <w:rsid w:val="006F19F7"/>
    <w:rsid w:val="006F6470"/>
    <w:rsid w:val="006F69E6"/>
    <w:rsid w:val="00700188"/>
    <w:rsid w:val="0070319A"/>
    <w:rsid w:val="00706135"/>
    <w:rsid w:val="00711BF2"/>
    <w:rsid w:val="00712A25"/>
    <w:rsid w:val="00713D09"/>
    <w:rsid w:val="007168A2"/>
    <w:rsid w:val="00723C80"/>
    <w:rsid w:val="00730E8C"/>
    <w:rsid w:val="0073134E"/>
    <w:rsid w:val="0074443F"/>
    <w:rsid w:val="007455B7"/>
    <w:rsid w:val="007523DC"/>
    <w:rsid w:val="00757319"/>
    <w:rsid w:val="007635B9"/>
    <w:rsid w:val="00776AEB"/>
    <w:rsid w:val="007843DA"/>
    <w:rsid w:val="00784E04"/>
    <w:rsid w:val="007918EC"/>
    <w:rsid w:val="00792231"/>
    <w:rsid w:val="007933CE"/>
    <w:rsid w:val="007943C2"/>
    <w:rsid w:val="00795171"/>
    <w:rsid w:val="007B039C"/>
    <w:rsid w:val="007B4A65"/>
    <w:rsid w:val="007D67EF"/>
    <w:rsid w:val="007D7E49"/>
    <w:rsid w:val="007E3FC1"/>
    <w:rsid w:val="007E4BFC"/>
    <w:rsid w:val="007E5A9F"/>
    <w:rsid w:val="007E5AAF"/>
    <w:rsid w:val="007E7E68"/>
    <w:rsid w:val="00802B6E"/>
    <w:rsid w:val="008154CD"/>
    <w:rsid w:val="00825BCD"/>
    <w:rsid w:val="00826D48"/>
    <w:rsid w:val="008307FA"/>
    <w:rsid w:val="00835B28"/>
    <w:rsid w:val="00846A94"/>
    <w:rsid w:val="00847FFE"/>
    <w:rsid w:val="00851FFB"/>
    <w:rsid w:val="008541A7"/>
    <w:rsid w:val="008603D7"/>
    <w:rsid w:val="0086777F"/>
    <w:rsid w:val="00880414"/>
    <w:rsid w:val="0089217D"/>
    <w:rsid w:val="008923CC"/>
    <w:rsid w:val="00897B39"/>
    <w:rsid w:val="008A5535"/>
    <w:rsid w:val="008A73F9"/>
    <w:rsid w:val="008B456C"/>
    <w:rsid w:val="008B572B"/>
    <w:rsid w:val="008C7DE5"/>
    <w:rsid w:val="008D2A5E"/>
    <w:rsid w:val="008D37CC"/>
    <w:rsid w:val="008E0AF9"/>
    <w:rsid w:val="008E69D6"/>
    <w:rsid w:val="008F3FD1"/>
    <w:rsid w:val="008F4E47"/>
    <w:rsid w:val="00913FB0"/>
    <w:rsid w:val="00914D7D"/>
    <w:rsid w:val="00915173"/>
    <w:rsid w:val="0091799C"/>
    <w:rsid w:val="00922F0B"/>
    <w:rsid w:val="00926D31"/>
    <w:rsid w:val="009348B9"/>
    <w:rsid w:val="009349ED"/>
    <w:rsid w:val="00935975"/>
    <w:rsid w:val="00937A7D"/>
    <w:rsid w:val="00945A40"/>
    <w:rsid w:val="009464D1"/>
    <w:rsid w:val="00965AA7"/>
    <w:rsid w:val="00966DFC"/>
    <w:rsid w:val="00973CFD"/>
    <w:rsid w:val="0097484A"/>
    <w:rsid w:val="009A3E51"/>
    <w:rsid w:val="009D2EED"/>
    <w:rsid w:val="009D3AAE"/>
    <w:rsid w:val="009D5A54"/>
    <w:rsid w:val="009E2E6F"/>
    <w:rsid w:val="009E70D7"/>
    <w:rsid w:val="009F6CB0"/>
    <w:rsid w:val="009F6DFA"/>
    <w:rsid w:val="00A04A7E"/>
    <w:rsid w:val="00A06A67"/>
    <w:rsid w:val="00A1490A"/>
    <w:rsid w:val="00A14A5A"/>
    <w:rsid w:val="00A158FB"/>
    <w:rsid w:val="00A21C1C"/>
    <w:rsid w:val="00A27272"/>
    <w:rsid w:val="00A35D61"/>
    <w:rsid w:val="00A4004F"/>
    <w:rsid w:val="00A46FC7"/>
    <w:rsid w:val="00A502F0"/>
    <w:rsid w:val="00A51F3A"/>
    <w:rsid w:val="00A55626"/>
    <w:rsid w:val="00A606AE"/>
    <w:rsid w:val="00A607D8"/>
    <w:rsid w:val="00A7560F"/>
    <w:rsid w:val="00A81E57"/>
    <w:rsid w:val="00A861A3"/>
    <w:rsid w:val="00A879A3"/>
    <w:rsid w:val="00A90CC9"/>
    <w:rsid w:val="00A92477"/>
    <w:rsid w:val="00AA14F9"/>
    <w:rsid w:val="00AA55D1"/>
    <w:rsid w:val="00AB0C45"/>
    <w:rsid w:val="00AB7DFB"/>
    <w:rsid w:val="00AC16DE"/>
    <w:rsid w:val="00AC6FF8"/>
    <w:rsid w:val="00AD6BE6"/>
    <w:rsid w:val="00AD7245"/>
    <w:rsid w:val="00AD74F5"/>
    <w:rsid w:val="00AD78AB"/>
    <w:rsid w:val="00AF5539"/>
    <w:rsid w:val="00B030D4"/>
    <w:rsid w:val="00B0410D"/>
    <w:rsid w:val="00B1440F"/>
    <w:rsid w:val="00B16439"/>
    <w:rsid w:val="00B22311"/>
    <w:rsid w:val="00B24E29"/>
    <w:rsid w:val="00B410AB"/>
    <w:rsid w:val="00B5380F"/>
    <w:rsid w:val="00B57CE7"/>
    <w:rsid w:val="00B62189"/>
    <w:rsid w:val="00B62B9B"/>
    <w:rsid w:val="00B66482"/>
    <w:rsid w:val="00B724D3"/>
    <w:rsid w:val="00B75F36"/>
    <w:rsid w:val="00B77633"/>
    <w:rsid w:val="00B8401C"/>
    <w:rsid w:val="00B84382"/>
    <w:rsid w:val="00B91276"/>
    <w:rsid w:val="00B917EC"/>
    <w:rsid w:val="00B95D9F"/>
    <w:rsid w:val="00BA2348"/>
    <w:rsid w:val="00BB0DE6"/>
    <w:rsid w:val="00BB5DFB"/>
    <w:rsid w:val="00BB6F09"/>
    <w:rsid w:val="00BC35F8"/>
    <w:rsid w:val="00BC6AED"/>
    <w:rsid w:val="00BD19C3"/>
    <w:rsid w:val="00BD5629"/>
    <w:rsid w:val="00BD575D"/>
    <w:rsid w:val="00BD7F1F"/>
    <w:rsid w:val="00BE2EB1"/>
    <w:rsid w:val="00BF14F5"/>
    <w:rsid w:val="00BF7A65"/>
    <w:rsid w:val="00C05FC6"/>
    <w:rsid w:val="00C06905"/>
    <w:rsid w:val="00C07C4E"/>
    <w:rsid w:val="00C246FE"/>
    <w:rsid w:val="00C2649F"/>
    <w:rsid w:val="00C2717A"/>
    <w:rsid w:val="00C27927"/>
    <w:rsid w:val="00C302E0"/>
    <w:rsid w:val="00C33E03"/>
    <w:rsid w:val="00C377A6"/>
    <w:rsid w:val="00C44ADA"/>
    <w:rsid w:val="00C47281"/>
    <w:rsid w:val="00C61069"/>
    <w:rsid w:val="00C61111"/>
    <w:rsid w:val="00C61A7C"/>
    <w:rsid w:val="00C6248C"/>
    <w:rsid w:val="00C6362E"/>
    <w:rsid w:val="00C64222"/>
    <w:rsid w:val="00C71347"/>
    <w:rsid w:val="00C71516"/>
    <w:rsid w:val="00C9227C"/>
    <w:rsid w:val="00C93F10"/>
    <w:rsid w:val="00C95E44"/>
    <w:rsid w:val="00CA1710"/>
    <w:rsid w:val="00CA5F9A"/>
    <w:rsid w:val="00CB0E51"/>
    <w:rsid w:val="00CB37BA"/>
    <w:rsid w:val="00CC46BC"/>
    <w:rsid w:val="00CD3565"/>
    <w:rsid w:val="00CD3F7D"/>
    <w:rsid w:val="00CE0A20"/>
    <w:rsid w:val="00CF4CB5"/>
    <w:rsid w:val="00D0293F"/>
    <w:rsid w:val="00D02E34"/>
    <w:rsid w:val="00D038F7"/>
    <w:rsid w:val="00D1255B"/>
    <w:rsid w:val="00D13DA2"/>
    <w:rsid w:val="00D1778B"/>
    <w:rsid w:val="00D223DA"/>
    <w:rsid w:val="00D226E6"/>
    <w:rsid w:val="00D2294E"/>
    <w:rsid w:val="00D25C8D"/>
    <w:rsid w:val="00D27E5C"/>
    <w:rsid w:val="00D318C6"/>
    <w:rsid w:val="00D34F38"/>
    <w:rsid w:val="00D404DE"/>
    <w:rsid w:val="00D745EB"/>
    <w:rsid w:val="00D8418F"/>
    <w:rsid w:val="00D85F24"/>
    <w:rsid w:val="00D90DFF"/>
    <w:rsid w:val="00D9154D"/>
    <w:rsid w:val="00D96BC1"/>
    <w:rsid w:val="00DA1977"/>
    <w:rsid w:val="00DA7EA8"/>
    <w:rsid w:val="00DB23BA"/>
    <w:rsid w:val="00DB6988"/>
    <w:rsid w:val="00DB781B"/>
    <w:rsid w:val="00DB7A30"/>
    <w:rsid w:val="00DC084B"/>
    <w:rsid w:val="00DD1916"/>
    <w:rsid w:val="00DE03CE"/>
    <w:rsid w:val="00DE0CE5"/>
    <w:rsid w:val="00DE2852"/>
    <w:rsid w:val="00DE3D6E"/>
    <w:rsid w:val="00DF4E3F"/>
    <w:rsid w:val="00E01768"/>
    <w:rsid w:val="00E04094"/>
    <w:rsid w:val="00E0456C"/>
    <w:rsid w:val="00E05BF7"/>
    <w:rsid w:val="00E159A4"/>
    <w:rsid w:val="00E234A3"/>
    <w:rsid w:val="00E241F3"/>
    <w:rsid w:val="00E301B3"/>
    <w:rsid w:val="00E31A01"/>
    <w:rsid w:val="00E31D95"/>
    <w:rsid w:val="00E4069B"/>
    <w:rsid w:val="00E47442"/>
    <w:rsid w:val="00E5233F"/>
    <w:rsid w:val="00E553F4"/>
    <w:rsid w:val="00E55619"/>
    <w:rsid w:val="00E6255F"/>
    <w:rsid w:val="00E63BCA"/>
    <w:rsid w:val="00E72339"/>
    <w:rsid w:val="00E83717"/>
    <w:rsid w:val="00E8724C"/>
    <w:rsid w:val="00E9245A"/>
    <w:rsid w:val="00E95ECF"/>
    <w:rsid w:val="00EA553B"/>
    <w:rsid w:val="00EB1D2C"/>
    <w:rsid w:val="00EB6C27"/>
    <w:rsid w:val="00EB7E96"/>
    <w:rsid w:val="00EC26AF"/>
    <w:rsid w:val="00EC655C"/>
    <w:rsid w:val="00EE0F29"/>
    <w:rsid w:val="00EE193A"/>
    <w:rsid w:val="00EF4131"/>
    <w:rsid w:val="00F0320A"/>
    <w:rsid w:val="00F036F0"/>
    <w:rsid w:val="00F1042A"/>
    <w:rsid w:val="00F10F51"/>
    <w:rsid w:val="00F13207"/>
    <w:rsid w:val="00F15AFB"/>
    <w:rsid w:val="00F24061"/>
    <w:rsid w:val="00F25F94"/>
    <w:rsid w:val="00F276A1"/>
    <w:rsid w:val="00F50D37"/>
    <w:rsid w:val="00F57E09"/>
    <w:rsid w:val="00F7450A"/>
    <w:rsid w:val="00F75726"/>
    <w:rsid w:val="00F80151"/>
    <w:rsid w:val="00F82E98"/>
    <w:rsid w:val="00F84E5C"/>
    <w:rsid w:val="00F94029"/>
    <w:rsid w:val="00F96289"/>
    <w:rsid w:val="00FA5165"/>
    <w:rsid w:val="00FC487B"/>
    <w:rsid w:val="00FC6DF6"/>
    <w:rsid w:val="00FC7399"/>
    <w:rsid w:val="00FD06C9"/>
    <w:rsid w:val="00FD1655"/>
    <w:rsid w:val="00FE4CC1"/>
    <w:rsid w:val="026F6C07"/>
    <w:rsid w:val="05371415"/>
    <w:rsid w:val="0E762F95"/>
    <w:rsid w:val="1AB439A9"/>
    <w:rsid w:val="26FA2474"/>
    <w:rsid w:val="29715B47"/>
    <w:rsid w:val="2A0A5F61"/>
    <w:rsid w:val="2F852E03"/>
    <w:rsid w:val="34BB6144"/>
    <w:rsid w:val="36624409"/>
    <w:rsid w:val="3CA92F9B"/>
    <w:rsid w:val="41960685"/>
    <w:rsid w:val="492961BD"/>
    <w:rsid w:val="544313BD"/>
    <w:rsid w:val="56ED3E6D"/>
    <w:rsid w:val="57651BA9"/>
    <w:rsid w:val="6F544F75"/>
    <w:rsid w:val="73CE57B0"/>
    <w:rsid w:val="7ECA2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cs="Times New Roman"/>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qFormat/>
    <w:uiPriority w:val="99"/>
    <w:rPr>
      <w:sz w:val="18"/>
      <w:szCs w:val="18"/>
    </w:rPr>
  </w:style>
  <w:style w:type="paragraph" w:customStyle="1" w:styleId="14">
    <w:name w:val="Table Paragraph"/>
    <w:basedOn w:val="1"/>
    <w:qFormat/>
    <w:uiPriority w:val="1"/>
    <w:pPr>
      <w:autoSpaceDE w:val="0"/>
      <w:autoSpaceDN w:val="0"/>
      <w:jc w:val="center"/>
    </w:pPr>
    <w:rPr>
      <w:rFonts w:ascii="宋体" w:hAnsi="宋体" w:eastAsia="宋体" w:cs="宋体"/>
      <w:kern w:val="0"/>
      <w:sz w:val="22"/>
      <w:lang w:val="zh-CN" w:bidi="zh-CN"/>
    </w:rPr>
  </w:style>
  <w:style w:type="character" w:customStyle="1" w:styleId="15">
    <w:name w:val="图标标题 Char"/>
    <w:link w:val="16"/>
    <w:qFormat/>
    <w:uiPriority w:val="0"/>
    <w:rPr>
      <w:b/>
      <w:kern w:val="2"/>
      <w:sz w:val="21"/>
      <w:szCs w:val="24"/>
    </w:rPr>
  </w:style>
  <w:style w:type="paragraph" w:customStyle="1" w:styleId="16">
    <w:name w:val="图标标题"/>
    <w:basedOn w:val="1"/>
    <w:link w:val="15"/>
    <w:qFormat/>
    <w:uiPriority w:val="0"/>
    <w:pPr>
      <w:spacing w:before="50" w:beforeLines="50" w:line="360" w:lineRule="auto"/>
      <w:jc w:val="center"/>
    </w:pPr>
    <w:rPr>
      <w:rFonts w:ascii="Times New Roman" w:hAnsi="Times New Roman" w:eastAsia="宋体" w:cs="Times New Roman"/>
      <w:b/>
      <w:szCs w:val="24"/>
    </w:rPr>
  </w:style>
  <w:style w:type="table" w:customStyle="1" w:styleId="17">
    <w:name w:val="网格型1"/>
    <w:basedOn w:val="6"/>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C77E6F-B0BA-4F40-960B-C99A0B3FF043}">
  <ds:schemaRefs/>
</ds:datastoreItem>
</file>

<file path=docProps/app.xml><?xml version="1.0" encoding="utf-8"?>
<Properties xmlns="http://schemas.openxmlformats.org/officeDocument/2006/extended-properties" xmlns:vt="http://schemas.openxmlformats.org/officeDocument/2006/docPropsVTypes">
  <Template>Normal</Template>
  <Pages>15</Pages>
  <Words>7112</Words>
  <Characters>7276</Characters>
  <Lines>53</Lines>
  <Paragraphs>14</Paragraphs>
  <TotalTime>185</TotalTime>
  <ScaleCrop>false</ScaleCrop>
  <LinksUpToDate>false</LinksUpToDate>
  <CharactersWithSpaces>7286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2017-06-16T03:44:00Z</dcterms:created>
  <dc:creator>dell</dc:creator>
  <cp:lastModifiedBy>郑青川</cp:lastModifiedBy>
  <cp:lastPrinted>2023-03-11T02:40:00Z</cp:lastPrinted>
  <dcterms:modified xsi:type="dcterms:W3CDTF">2026-08-17T00:48:20Z</dcterms:modified>
  <cp:revision>392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0E1033E2144B4E7AB68836376B6E90FA_13</vt:lpwstr>
  </property>
  <property fmtid="{D5CDD505-2E9C-101B-9397-08002B2CF9AE}" pid="4" name="KSOTemplateDocerSaveRecord">
    <vt:lpwstr>eyJoZGlkIjoiNGFmOGU1MjcxMjdkNTRmZjNhZjNmMzYxODQxMDg3YjkiLCJ1c2VySWQiOiIxMTI0MDc2MDQ4In0=</vt:lpwstr>
  </property>
</Properties>
</file>